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D74C1" w14:textId="77777777" w:rsidR="00C07257" w:rsidRDefault="0094465E">
      <w:pPr>
        <w:spacing w:after="0" w:line="259" w:lineRule="auto"/>
        <w:ind w:left="0" w:firstLine="0"/>
        <w:jc w:val="left"/>
      </w:pPr>
      <w:r>
        <w:rPr>
          <w:rFonts w:ascii="Times New Roman" w:eastAsia="Times New Roman" w:hAnsi="Times New Roman"/>
        </w:rPr>
        <w:t xml:space="preserve"> </w:t>
      </w:r>
    </w:p>
    <w:p w14:paraId="2B24E72E" w14:textId="77777777" w:rsidR="00C07257" w:rsidRDefault="0094465E">
      <w:pPr>
        <w:spacing w:after="120" w:line="259" w:lineRule="auto"/>
        <w:ind w:left="0" w:firstLine="0"/>
        <w:jc w:val="left"/>
      </w:pPr>
      <w:r>
        <w:rPr>
          <w:rFonts w:ascii="Times New Roman" w:eastAsia="Times New Roman" w:hAnsi="Times New Roman"/>
        </w:rPr>
        <w:t xml:space="preserve"> </w:t>
      </w:r>
    </w:p>
    <w:p w14:paraId="41C5AC19" w14:textId="77777777" w:rsidR="00C07257" w:rsidRDefault="0094465E">
      <w:pPr>
        <w:pBdr>
          <w:top w:val="single" w:sz="4" w:space="0" w:color="000000"/>
          <w:left w:val="single" w:sz="4" w:space="0" w:color="000000"/>
          <w:bottom w:val="single" w:sz="4" w:space="0" w:color="000000"/>
          <w:right w:val="single" w:sz="4" w:space="0" w:color="000000"/>
        </w:pBdr>
        <w:spacing w:after="0" w:line="259" w:lineRule="auto"/>
        <w:ind w:left="614" w:right="65" w:firstLine="0"/>
        <w:jc w:val="center"/>
      </w:pPr>
      <w:r>
        <w:rPr>
          <w:rFonts w:cs="Arial"/>
          <w:b/>
          <w:sz w:val="36"/>
        </w:rPr>
        <w:t xml:space="preserve">School of Law </w:t>
      </w:r>
    </w:p>
    <w:p w14:paraId="5273F44C" w14:textId="3E1A2346" w:rsidR="00FA78FC" w:rsidRDefault="0094465E" w:rsidP="008441F0">
      <w:pPr>
        <w:pBdr>
          <w:top w:val="single" w:sz="4" w:space="0" w:color="000000"/>
          <w:left w:val="single" w:sz="4" w:space="0" w:color="000000"/>
          <w:bottom w:val="single" w:sz="4" w:space="0" w:color="000000"/>
          <w:right w:val="single" w:sz="4" w:space="0" w:color="000000"/>
        </w:pBdr>
        <w:spacing w:after="26" w:line="241" w:lineRule="auto"/>
        <w:ind w:left="2235" w:right="65" w:hanging="1621"/>
        <w:jc w:val="center"/>
        <w:rPr>
          <w:rFonts w:cs="Arial"/>
          <w:b/>
          <w:sz w:val="36"/>
        </w:rPr>
      </w:pPr>
      <w:r>
        <w:rPr>
          <w:rFonts w:cs="Arial"/>
          <w:b/>
          <w:sz w:val="36"/>
        </w:rPr>
        <w:t>Understanding the Law – LW 3120</w:t>
      </w:r>
    </w:p>
    <w:p w14:paraId="5768137F" w14:textId="67A13A5E" w:rsidR="00C07257" w:rsidRDefault="0094465E" w:rsidP="00FA78FC">
      <w:pPr>
        <w:pBdr>
          <w:top w:val="single" w:sz="4" w:space="0" w:color="000000"/>
          <w:left w:val="single" w:sz="4" w:space="0" w:color="000000"/>
          <w:bottom w:val="single" w:sz="4" w:space="0" w:color="000000"/>
          <w:right w:val="single" w:sz="4" w:space="0" w:color="000000"/>
        </w:pBdr>
        <w:spacing w:after="26" w:line="241" w:lineRule="auto"/>
        <w:ind w:left="2235" w:right="65" w:hanging="1621"/>
        <w:jc w:val="center"/>
      </w:pPr>
      <w:r>
        <w:rPr>
          <w:rFonts w:cs="Arial"/>
          <w:b/>
          <w:sz w:val="36"/>
        </w:rPr>
        <w:t>Module Outline</w:t>
      </w:r>
      <w:r w:rsidR="008441F0">
        <w:rPr>
          <w:rFonts w:cs="Arial"/>
          <w:b/>
          <w:sz w:val="36"/>
        </w:rPr>
        <w:t xml:space="preserve"> 2024-2025</w:t>
      </w:r>
    </w:p>
    <w:p w14:paraId="4EC0D5DD" w14:textId="77777777" w:rsidR="00C07257" w:rsidRDefault="0094465E">
      <w:pPr>
        <w:spacing w:after="0" w:line="259" w:lineRule="auto"/>
        <w:ind w:left="0" w:right="29" w:firstLine="0"/>
        <w:jc w:val="center"/>
      </w:pPr>
      <w:r>
        <w:rPr>
          <w:rFonts w:cs="Arial"/>
          <w:b/>
          <w:sz w:val="36"/>
        </w:rPr>
        <w:t xml:space="preserve"> </w:t>
      </w:r>
    </w:p>
    <w:p w14:paraId="56D95A3F" w14:textId="77777777" w:rsidR="00C07257" w:rsidRDefault="0094465E">
      <w:pPr>
        <w:spacing w:after="0" w:line="259" w:lineRule="auto"/>
        <w:ind w:left="0" w:firstLine="0"/>
        <w:jc w:val="left"/>
      </w:pPr>
      <w:r>
        <w:rPr>
          <w:rFonts w:cs="Arial"/>
          <w:b/>
        </w:rPr>
        <w:t xml:space="preserve"> </w:t>
      </w:r>
    </w:p>
    <w:tbl>
      <w:tblPr>
        <w:tblStyle w:val="TableGrid"/>
        <w:tblW w:w="8526" w:type="dxa"/>
        <w:tblInd w:w="-113" w:type="dxa"/>
        <w:tblCellMar>
          <w:top w:w="32" w:type="dxa"/>
          <w:right w:w="46" w:type="dxa"/>
        </w:tblCellMar>
        <w:tblLook w:val="04A0" w:firstRow="1" w:lastRow="0" w:firstColumn="1" w:lastColumn="0" w:noHBand="0" w:noVBand="1"/>
      </w:tblPr>
      <w:tblGrid>
        <w:gridCol w:w="1553"/>
        <w:gridCol w:w="6973"/>
      </w:tblGrid>
      <w:tr w:rsidR="00C07257" w14:paraId="7CE5AC43" w14:textId="77777777">
        <w:trPr>
          <w:trHeight w:val="3363"/>
        </w:trPr>
        <w:tc>
          <w:tcPr>
            <w:tcW w:w="1553" w:type="dxa"/>
            <w:tcBorders>
              <w:top w:val="single" w:sz="4" w:space="0" w:color="000000"/>
              <w:left w:val="single" w:sz="4" w:space="0" w:color="000000"/>
              <w:bottom w:val="single" w:sz="4" w:space="0" w:color="000000"/>
              <w:right w:val="nil"/>
            </w:tcBorders>
          </w:tcPr>
          <w:p w14:paraId="6B68105B" w14:textId="77777777" w:rsidR="00C07257" w:rsidRDefault="0094465E">
            <w:pPr>
              <w:spacing w:after="0" w:line="259" w:lineRule="auto"/>
              <w:ind w:left="113" w:firstLine="0"/>
              <w:jc w:val="left"/>
            </w:pPr>
            <w:r>
              <w:rPr>
                <w:b/>
              </w:rPr>
              <w:t>Objective:</w:t>
            </w:r>
            <w:r>
              <w:t xml:space="preserve"> </w:t>
            </w:r>
          </w:p>
        </w:tc>
        <w:tc>
          <w:tcPr>
            <w:tcW w:w="6974" w:type="dxa"/>
            <w:tcBorders>
              <w:top w:val="single" w:sz="4" w:space="0" w:color="000000"/>
              <w:left w:val="nil"/>
              <w:bottom w:val="single" w:sz="4" w:space="0" w:color="000000"/>
              <w:right w:val="single" w:sz="4" w:space="0" w:color="000000"/>
            </w:tcBorders>
          </w:tcPr>
          <w:p w14:paraId="12485B5D" w14:textId="77777777" w:rsidR="00C07257" w:rsidRDefault="0094465E">
            <w:pPr>
              <w:spacing w:after="0" w:line="259" w:lineRule="auto"/>
              <w:ind w:left="0" w:right="65" w:firstLine="0"/>
            </w:pPr>
            <w:r>
              <w:t xml:space="preserve">In order to grasp the effect of substantive legal rules, it is essential to understand the context of the legal system.  A core objective of this intensive, four-week module is to provide students with a solid knowledge of the sources of Irish law and how the system works. A concomitant objective is to prepare the student for the ordinary tasks he/she will likely encounter when working as a practising lawyer or in a related field, i.e., the reading, citation and interpretation of statutes and cases; research of law; legal writing; advocacy; etc.  In an overarching sense, and utilising a range of innovative teaching and learning methodologies, the module is intended to expand the student’s capacity for critical thought – to help him/her “think like a lawyer.” </w:t>
            </w:r>
          </w:p>
        </w:tc>
      </w:tr>
    </w:tbl>
    <w:p w14:paraId="120E905C" w14:textId="77777777" w:rsidR="00C07257" w:rsidRDefault="0094465E">
      <w:pPr>
        <w:spacing w:after="0" w:line="259" w:lineRule="auto"/>
        <w:ind w:left="0" w:firstLine="0"/>
        <w:jc w:val="left"/>
      </w:pPr>
      <w:r>
        <w:t xml:space="preserve"> </w:t>
      </w:r>
    </w:p>
    <w:tbl>
      <w:tblPr>
        <w:tblStyle w:val="TableGrid"/>
        <w:tblW w:w="8526" w:type="dxa"/>
        <w:tblInd w:w="-113" w:type="dxa"/>
        <w:tblCellMar>
          <w:top w:w="32" w:type="dxa"/>
          <w:right w:w="85" w:type="dxa"/>
        </w:tblCellMar>
        <w:tblLook w:val="04A0" w:firstRow="1" w:lastRow="0" w:firstColumn="1" w:lastColumn="0" w:noHBand="0" w:noVBand="1"/>
      </w:tblPr>
      <w:tblGrid>
        <w:gridCol w:w="1553"/>
        <w:gridCol w:w="6973"/>
      </w:tblGrid>
      <w:tr w:rsidR="00C07257" w14:paraId="4A44C20E" w14:textId="77777777">
        <w:trPr>
          <w:trHeight w:val="3363"/>
        </w:trPr>
        <w:tc>
          <w:tcPr>
            <w:tcW w:w="1553" w:type="dxa"/>
            <w:tcBorders>
              <w:top w:val="single" w:sz="4" w:space="0" w:color="000000"/>
              <w:left w:val="single" w:sz="4" w:space="0" w:color="000000"/>
              <w:bottom w:val="single" w:sz="4" w:space="0" w:color="000000"/>
              <w:right w:val="nil"/>
            </w:tcBorders>
          </w:tcPr>
          <w:p w14:paraId="53C4E360" w14:textId="77777777" w:rsidR="00C07257" w:rsidRDefault="0094465E">
            <w:pPr>
              <w:spacing w:after="0" w:line="259" w:lineRule="auto"/>
              <w:ind w:left="113" w:firstLine="0"/>
              <w:jc w:val="left"/>
            </w:pPr>
            <w:r>
              <w:rPr>
                <w:b/>
              </w:rPr>
              <w:t>Lecturers:</w:t>
            </w:r>
            <w:r>
              <w:t xml:space="preserve"> </w:t>
            </w:r>
          </w:p>
          <w:p w14:paraId="4353BE6E" w14:textId="77777777" w:rsidR="00C07257" w:rsidRDefault="0094465E">
            <w:pPr>
              <w:spacing w:after="0" w:line="259" w:lineRule="auto"/>
              <w:ind w:left="113" w:firstLine="0"/>
              <w:jc w:val="left"/>
            </w:pPr>
            <w:r>
              <w:t xml:space="preserve"> </w:t>
            </w:r>
          </w:p>
          <w:p w14:paraId="7EBD52A8" w14:textId="77777777" w:rsidR="00C07257" w:rsidRDefault="0094465E">
            <w:pPr>
              <w:spacing w:after="0" w:line="259" w:lineRule="auto"/>
              <w:ind w:left="113" w:firstLine="0"/>
              <w:jc w:val="left"/>
            </w:pPr>
            <w:r>
              <w:rPr>
                <w:b/>
              </w:rPr>
              <w:t xml:space="preserve"> </w:t>
            </w:r>
          </w:p>
          <w:p w14:paraId="4018E8EC" w14:textId="77777777" w:rsidR="00C07257" w:rsidRDefault="0094465E">
            <w:pPr>
              <w:spacing w:after="0" w:line="259" w:lineRule="auto"/>
              <w:ind w:left="113" w:firstLine="0"/>
              <w:jc w:val="left"/>
            </w:pPr>
            <w:r>
              <w:t xml:space="preserve"> </w:t>
            </w:r>
          </w:p>
          <w:p w14:paraId="16AC832C" w14:textId="77777777" w:rsidR="00C07257" w:rsidRDefault="0094465E">
            <w:pPr>
              <w:spacing w:after="0" w:line="259" w:lineRule="auto"/>
              <w:ind w:left="113" w:firstLine="0"/>
              <w:jc w:val="left"/>
            </w:pPr>
            <w:r>
              <w:t xml:space="preserve"> </w:t>
            </w:r>
          </w:p>
          <w:p w14:paraId="7330F5DD" w14:textId="77777777" w:rsidR="00C07257" w:rsidRDefault="0094465E">
            <w:pPr>
              <w:spacing w:after="0" w:line="259" w:lineRule="auto"/>
              <w:ind w:left="113" w:firstLine="0"/>
              <w:jc w:val="left"/>
            </w:pPr>
            <w:r>
              <w:t xml:space="preserve"> </w:t>
            </w:r>
          </w:p>
          <w:p w14:paraId="3855190B" w14:textId="77777777" w:rsidR="00C07257" w:rsidRDefault="0094465E">
            <w:pPr>
              <w:spacing w:after="0" w:line="259" w:lineRule="auto"/>
              <w:ind w:left="113" w:firstLine="0"/>
              <w:jc w:val="left"/>
            </w:pPr>
            <w:r>
              <w:t xml:space="preserve"> </w:t>
            </w:r>
          </w:p>
          <w:p w14:paraId="33AE9B48" w14:textId="77777777" w:rsidR="00C07257" w:rsidRDefault="0094465E">
            <w:pPr>
              <w:spacing w:after="0" w:line="259" w:lineRule="auto"/>
              <w:ind w:left="113" w:firstLine="0"/>
              <w:jc w:val="left"/>
            </w:pPr>
            <w:r>
              <w:t xml:space="preserve"> </w:t>
            </w:r>
          </w:p>
          <w:p w14:paraId="4C87DC4B" w14:textId="77777777" w:rsidR="00C07257" w:rsidRDefault="0094465E">
            <w:pPr>
              <w:spacing w:after="0" w:line="259" w:lineRule="auto"/>
              <w:ind w:left="113" w:firstLine="0"/>
              <w:jc w:val="left"/>
            </w:pPr>
            <w:r>
              <w:t xml:space="preserve"> </w:t>
            </w:r>
          </w:p>
          <w:p w14:paraId="131AF97F" w14:textId="77777777" w:rsidR="00C07257" w:rsidRDefault="0094465E">
            <w:pPr>
              <w:spacing w:after="0" w:line="259" w:lineRule="auto"/>
              <w:ind w:left="113" w:firstLine="0"/>
              <w:jc w:val="left"/>
            </w:pPr>
            <w:r>
              <w:t xml:space="preserve"> </w:t>
            </w:r>
          </w:p>
          <w:p w14:paraId="0CE24539" w14:textId="77777777" w:rsidR="00C07257" w:rsidRDefault="0094465E">
            <w:pPr>
              <w:spacing w:after="0" w:line="259" w:lineRule="auto"/>
              <w:ind w:left="113" w:firstLine="0"/>
              <w:jc w:val="left"/>
            </w:pPr>
            <w:r>
              <w:t xml:space="preserve"> </w:t>
            </w:r>
          </w:p>
          <w:p w14:paraId="5F864524" w14:textId="77777777" w:rsidR="00C07257" w:rsidRDefault="0094465E">
            <w:pPr>
              <w:spacing w:after="0" w:line="259" w:lineRule="auto"/>
              <w:ind w:left="113" w:firstLine="0"/>
              <w:jc w:val="left"/>
            </w:pPr>
            <w:r>
              <w:t xml:space="preserve"> </w:t>
            </w:r>
          </w:p>
        </w:tc>
        <w:tc>
          <w:tcPr>
            <w:tcW w:w="6974" w:type="dxa"/>
            <w:tcBorders>
              <w:top w:val="single" w:sz="4" w:space="0" w:color="000000"/>
              <w:left w:val="nil"/>
              <w:bottom w:val="single" w:sz="4" w:space="0" w:color="000000"/>
              <w:right w:val="single" w:sz="4" w:space="0" w:color="000000"/>
            </w:tcBorders>
          </w:tcPr>
          <w:p w14:paraId="3D176114" w14:textId="77777777" w:rsidR="00C07257" w:rsidRDefault="0094465E">
            <w:pPr>
              <w:spacing w:after="254" w:line="259" w:lineRule="auto"/>
              <w:ind w:left="0" w:firstLine="0"/>
              <w:jc w:val="left"/>
            </w:pPr>
            <w:r>
              <w:t xml:space="preserve">Ms. Nicola Murphy, Room 413, Floor Two, Tower Two </w:t>
            </w:r>
          </w:p>
          <w:p w14:paraId="44F3FE6D" w14:textId="77777777" w:rsidR="00C07257" w:rsidRDefault="0094465E">
            <w:pPr>
              <w:spacing w:after="276" w:line="480" w:lineRule="auto"/>
              <w:ind w:left="0" w:firstLine="0"/>
              <w:jc w:val="left"/>
            </w:pPr>
            <w:r>
              <w:t>Email:</w:t>
            </w:r>
            <w:r>
              <w:rPr>
                <w:b/>
              </w:rPr>
              <w:t xml:space="preserve"> </w:t>
            </w:r>
            <w:r>
              <w:rPr>
                <w:color w:val="0000FF"/>
                <w:u w:val="single" w:color="0000FF"/>
              </w:rPr>
              <w:t>nicola.murphy@universityofgalway.ie</w:t>
            </w:r>
            <w:r>
              <w:t xml:space="preserve"> phone: 091 493001 Office hours: Physical and virtual office hours by appointment. </w:t>
            </w:r>
          </w:p>
          <w:p w14:paraId="5F748459" w14:textId="77777777" w:rsidR="00C07257" w:rsidRDefault="0094465E">
            <w:pPr>
              <w:spacing w:after="254" w:line="259" w:lineRule="auto"/>
              <w:ind w:left="0" w:firstLine="0"/>
              <w:jc w:val="left"/>
            </w:pPr>
            <w:r>
              <w:t xml:space="preserve">Mr. Larry Donnelly, Room 511, Floor Three, Tower Two </w:t>
            </w:r>
          </w:p>
          <w:p w14:paraId="140621A0" w14:textId="77777777" w:rsidR="00C07257" w:rsidRDefault="0094465E">
            <w:pPr>
              <w:spacing w:after="0" w:line="259" w:lineRule="auto"/>
              <w:ind w:left="0" w:firstLine="0"/>
              <w:jc w:val="left"/>
            </w:pPr>
            <w:r>
              <w:t xml:space="preserve">Email: </w:t>
            </w:r>
            <w:r>
              <w:rPr>
                <w:color w:val="0000FF"/>
                <w:u w:val="single" w:color="0000FF"/>
              </w:rPr>
              <w:t>larry.donnelly@universityofgalway.ie</w:t>
            </w:r>
            <w:r>
              <w:t xml:space="preserve"> phone: 091 495372 Office hours: Physical and virtual office hours by appointment. </w:t>
            </w:r>
          </w:p>
        </w:tc>
      </w:tr>
    </w:tbl>
    <w:p w14:paraId="4AD55F23" w14:textId="77777777" w:rsidR="00C07257" w:rsidRDefault="0094465E">
      <w:pPr>
        <w:spacing w:after="0" w:line="259" w:lineRule="auto"/>
        <w:ind w:left="0" w:firstLine="0"/>
        <w:jc w:val="left"/>
      </w:pPr>
      <w:r>
        <w:t xml:space="preserve"> </w:t>
      </w:r>
    </w:p>
    <w:p w14:paraId="76AFA990" w14:textId="77777777" w:rsidR="00C07257" w:rsidRDefault="0094465E">
      <w:pPr>
        <w:spacing w:after="0" w:line="259" w:lineRule="auto"/>
        <w:ind w:left="0" w:firstLine="0"/>
        <w:jc w:val="left"/>
      </w:pPr>
      <w:r>
        <w:t xml:space="preserve"> </w:t>
      </w:r>
    </w:p>
    <w:tbl>
      <w:tblPr>
        <w:tblStyle w:val="TableGrid"/>
        <w:tblW w:w="8526" w:type="dxa"/>
        <w:tblInd w:w="-113" w:type="dxa"/>
        <w:tblCellMar>
          <w:top w:w="32" w:type="dxa"/>
          <w:bottom w:w="26" w:type="dxa"/>
          <w:right w:w="115" w:type="dxa"/>
        </w:tblCellMar>
        <w:tblLook w:val="04A0" w:firstRow="1" w:lastRow="0" w:firstColumn="1" w:lastColumn="0" w:noHBand="0" w:noVBand="1"/>
      </w:tblPr>
      <w:tblGrid>
        <w:gridCol w:w="1553"/>
        <w:gridCol w:w="6973"/>
      </w:tblGrid>
      <w:tr w:rsidR="00C07257" w14:paraId="1FEDAB2A" w14:textId="77777777">
        <w:trPr>
          <w:trHeight w:val="602"/>
        </w:trPr>
        <w:tc>
          <w:tcPr>
            <w:tcW w:w="1553" w:type="dxa"/>
            <w:tcBorders>
              <w:top w:val="single" w:sz="4" w:space="0" w:color="000000"/>
              <w:left w:val="single" w:sz="4" w:space="0" w:color="000000"/>
              <w:bottom w:val="single" w:sz="4" w:space="0" w:color="000000"/>
              <w:right w:val="nil"/>
            </w:tcBorders>
          </w:tcPr>
          <w:p w14:paraId="4C08F013" w14:textId="77777777" w:rsidR="00C07257" w:rsidRDefault="0094465E">
            <w:pPr>
              <w:spacing w:after="0" w:line="259" w:lineRule="auto"/>
              <w:ind w:left="113" w:firstLine="0"/>
              <w:jc w:val="left"/>
            </w:pPr>
            <w:r>
              <w:rPr>
                <w:b/>
              </w:rPr>
              <w:t>Lecture Times:</w:t>
            </w:r>
            <w:r>
              <w:t xml:space="preserve"> </w:t>
            </w:r>
          </w:p>
        </w:tc>
        <w:tc>
          <w:tcPr>
            <w:tcW w:w="6974" w:type="dxa"/>
            <w:tcBorders>
              <w:top w:val="single" w:sz="4" w:space="0" w:color="000000"/>
              <w:left w:val="nil"/>
              <w:bottom w:val="single" w:sz="4" w:space="0" w:color="000000"/>
              <w:right w:val="single" w:sz="4" w:space="0" w:color="000000"/>
            </w:tcBorders>
            <w:vAlign w:val="bottom"/>
          </w:tcPr>
          <w:p w14:paraId="0DEEDF00" w14:textId="77777777" w:rsidR="00C07257" w:rsidRDefault="0094465E">
            <w:pPr>
              <w:spacing w:after="0" w:line="259" w:lineRule="auto"/>
              <w:ind w:left="0" w:firstLine="0"/>
              <w:jc w:val="left"/>
            </w:pPr>
            <w:r>
              <w:t xml:space="preserve">Please see the timetable </w:t>
            </w:r>
          </w:p>
        </w:tc>
      </w:tr>
    </w:tbl>
    <w:p w14:paraId="7BCC2B84" w14:textId="77777777" w:rsidR="00C07257" w:rsidRDefault="0094465E">
      <w:pPr>
        <w:spacing w:after="0" w:line="259" w:lineRule="auto"/>
        <w:ind w:left="0" w:firstLine="0"/>
        <w:jc w:val="left"/>
      </w:pPr>
      <w:r>
        <w:t xml:space="preserve"> </w:t>
      </w:r>
    </w:p>
    <w:p w14:paraId="62AE6F2C" w14:textId="77777777" w:rsidR="00C07257" w:rsidRDefault="0094465E">
      <w:pPr>
        <w:spacing w:after="0" w:line="259" w:lineRule="auto"/>
        <w:ind w:left="-5"/>
        <w:jc w:val="left"/>
      </w:pPr>
      <w:r>
        <w:rPr>
          <w:rFonts w:cs="Arial"/>
          <w:b/>
        </w:rPr>
        <w:t xml:space="preserve">Learning </w:t>
      </w:r>
    </w:p>
    <w:p w14:paraId="58EBCD84" w14:textId="057F3D79" w:rsidR="00C07257" w:rsidRDefault="0094465E">
      <w:pPr>
        <w:ind w:left="-5" w:right="114"/>
      </w:pPr>
      <w:r>
        <w:rPr>
          <w:rFonts w:cs="Arial"/>
          <w:b/>
        </w:rPr>
        <w:t>Outcomes:</w:t>
      </w:r>
      <w:r>
        <w:t xml:space="preserve"> </w:t>
      </w:r>
      <w:r w:rsidR="008441F0">
        <w:tab/>
      </w:r>
      <w:r>
        <w:t xml:space="preserve">Upon completion of this module, students should: </w:t>
      </w:r>
    </w:p>
    <w:p w14:paraId="69381552" w14:textId="77777777" w:rsidR="00C07257" w:rsidRDefault="0094465E">
      <w:pPr>
        <w:spacing w:after="0" w:line="259" w:lineRule="auto"/>
        <w:ind w:left="0" w:firstLine="0"/>
        <w:jc w:val="left"/>
      </w:pPr>
      <w:r>
        <w:t xml:space="preserve"> </w:t>
      </w:r>
    </w:p>
    <w:p w14:paraId="2796D8DC" w14:textId="77777777" w:rsidR="00C07257" w:rsidRDefault="0094465E">
      <w:pPr>
        <w:numPr>
          <w:ilvl w:val="0"/>
          <w:numId w:val="1"/>
        </w:numPr>
        <w:ind w:right="114" w:hanging="360"/>
      </w:pPr>
      <w:r>
        <w:t xml:space="preserve">be well versed in the sources of Irish law; </w:t>
      </w:r>
    </w:p>
    <w:p w14:paraId="610A433E" w14:textId="77777777" w:rsidR="00C07257" w:rsidRDefault="0094465E">
      <w:pPr>
        <w:numPr>
          <w:ilvl w:val="0"/>
          <w:numId w:val="1"/>
        </w:numPr>
        <w:ind w:right="114" w:hanging="360"/>
      </w:pPr>
      <w:r>
        <w:t xml:space="preserve">be familiar with legal terminology; </w:t>
      </w:r>
    </w:p>
    <w:p w14:paraId="61C27AC3" w14:textId="77777777" w:rsidR="00C07257" w:rsidRDefault="0094465E">
      <w:pPr>
        <w:numPr>
          <w:ilvl w:val="0"/>
          <w:numId w:val="1"/>
        </w:numPr>
        <w:ind w:right="114" w:hanging="360"/>
      </w:pPr>
      <w:r>
        <w:t xml:space="preserve">be familiar with the Irish court structure; </w:t>
      </w:r>
    </w:p>
    <w:p w14:paraId="7CEC717D" w14:textId="77777777" w:rsidR="00C07257" w:rsidRDefault="0094465E">
      <w:pPr>
        <w:numPr>
          <w:ilvl w:val="0"/>
          <w:numId w:val="1"/>
        </w:numPr>
        <w:ind w:right="114" w:hanging="360"/>
      </w:pPr>
      <w:r>
        <w:lastRenderedPageBreak/>
        <w:t xml:space="preserve">be cognisant of the impact of EU and international law on the Irish legal system; </w:t>
      </w:r>
    </w:p>
    <w:p w14:paraId="15CAC2C5" w14:textId="77777777" w:rsidR="00C07257" w:rsidRDefault="0094465E">
      <w:pPr>
        <w:numPr>
          <w:ilvl w:val="0"/>
          <w:numId w:val="1"/>
        </w:numPr>
        <w:ind w:right="114" w:hanging="360"/>
      </w:pPr>
      <w:r>
        <w:t xml:space="preserve">be able to read and analyse primary and secondary legal sources of law quickly and effectively; </w:t>
      </w:r>
    </w:p>
    <w:p w14:paraId="1E9ECADF" w14:textId="77777777" w:rsidR="00C07257" w:rsidRDefault="0094465E">
      <w:pPr>
        <w:numPr>
          <w:ilvl w:val="0"/>
          <w:numId w:val="1"/>
        </w:numPr>
        <w:ind w:right="114" w:hanging="360"/>
      </w:pPr>
      <w:r>
        <w:t xml:space="preserve">have the ability to perform legal research using both traditional methods and online legal databases  </w:t>
      </w:r>
    </w:p>
    <w:p w14:paraId="4CD9958B" w14:textId="77777777" w:rsidR="00C07257" w:rsidRDefault="0094465E">
      <w:pPr>
        <w:numPr>
          <w:ilvl w:val="0"/>
          <w:numId w:val="1"/>
        </w:numPr>
        <w:ind w:right="114" w:hanging="360"/>
      </w:pPr>
      <w:r>
        <w:t xml:space="preserve">understand the principles of legal citation and know the OSCOLA Ireland system; </w:t>
      </w:r>
    </w:p>
    <w:p w14:paraId="524AC8BE" w14:textId="77777777" w:rsidR="00C07257" w:rsidRDefault="0094465E">
      <w:pPr>
        <w:numPr>
          <w:ilvl w:val="0"/>
          <w:numId w:val="1"/>
        </w:numPr>
        <w:ind w:right="114" w:hanging="360"/>
      </w:pPr>
      <w:r>
        <w:t xml:space="preserve">write clear, concise and sophisticated prose; </w:t>
      </w:r>
    </w:p>
    <w:p w14:paraId="1A03F34C" w14:textId="77777777" w:rsidR="00C07257" w:rsidRDefault="0094465E">
      <w:pPr>
        <w:numPr>
          <w:ilvl w:val="0"/>
          <w:numId w:val="1"/>
        </w:numPr>
        <w:ind w:right="114" w:hanging="360"/>
      </w:pPr>
      <w:r>
        <w:t xml:space="preserve">have an enhanced capacity for critical thought. </w:t>
      </w:r>
    </w:p>
    <w:p w14:paraId="24996F05" w14:textId="77777777" w:rsidR="00C07257" w:rsidRDefault="0094465E">
      <w:pPr>
        <w:spacing w:after="0" w:line="259" w:lineRule="auto"/>
        <w:ind w:left="0" w:firstLine="0"/>
        <w:jc w:val="left"/>
      </w:pPr>
      <w:r>
        <w:t xml:space="preserve"> </w:t>
      </w:r>
    </w:p>
    <w:p w14:paraId="2D44E670" w14:textId="77777777" w:rsidR="00C07257" w:rsidRDefault="0094465E">
      <w:pPr>
        <w:spacing w:after="0" w:line="259" w:lineRule="auto"/>
        <w:ind w:left="0" w:firstLine="0"/>
        <w:jc w:val="left"/>
      </w:pPr>
      <w:r>
        <w:t xml:space="preserve"> </w:t>
      </w:r>
    </w:p>
    <w:tbl>
      <w:tblPr>
        <w:tblStyle w:val="TableGrid"/>
        <w:tblW w:w="8526" w:type="dxa"/>
        <w:tblInd w:w="-113" w:type="dxa"/>
        <w:tblCellMar>
          <w:top w:w="13" w:type="dxa"/>
          <w:bottom w:w="5" w:type="dxa"/>
          <w:right w:w="46" w:type="dxa"/>
        </w:tblCellMar>
        <w:tblLook w:val="04A0" w:firstRow="1" w:lastRow="0" w:firstColumn="1" w:lastColumn="0" w:noHBand="0" w:noVBand="1"/>
      </w:tblPr>
      <w:tblGrid>
        <w:gridCol w:w="1913"/>
        <w:gridCol w:w="6613"/>
      </w:tblGrid>
      <w:tr w:rsidR="00C07257" w14:paraId="6E231A0D" w14:textId="77777777">
        <w:trPr>
          <w:trHeight w:val="878"/>
        </w:trPr>
        <w:tc>
          <w:tcPr>
            <w:tcW w:w="1913" w:type="dxa"/>
            <w:tcBorders>
              <w:top w:val="single" w:sz="4" w:space="0" w:color="000000"/>
              <w:left w:val="single" w:sz="4" w:space="0" w:color="000000"/>
              <w:bottom w:val="single" w:sz="4" w:space="0" w:color="000000"/>
              <w:right w:val="nil"/>
            </w:tcBorders>
          </w:tcPr>
          <w:p w14:paraId="47492570" w14:textId="77777777" w:rsidR="00C07257" w:rsidRDefault="0094465E">
            <w:pPr>
              <w:spacing w:after="0" w:line="259" w:lineRule="auto"/>
              <w:ind w:left="113" w:firstLine="0"/>
              <w:jc w:val="left"/>
            </w:pPr>
            <w:r>
              <w:rPr>
                <w:b/>
              </w:rPr>
              <w:t xml:space="preserve">Programmes: </w:t>
            </w:r>
          </w:p>
        </w:tc>
        <w:tc>
          <w:tcPr>
            <w:tcW w:w="6614" w:type="dxa"/>
            <w:tcBorders>
              <w:top w:val="single" w:sz="4" w:space="0" w:color="000000"/>
              <w:left w:val="nil"/>
              <w:bottom w:val="single" w:sz="4" w:space="0" w:color="000000"/>
              <w:right w:val="single" w:sz="4" w:space="0" w:color="000000"/>
            </w:tcBorders>
          </w:tcPr>
          <w:p w14:paraId="5C2E0FDB" w14:textId="4911441A" w:rsidR="00C07257" w:rsidRDefault="0094465E">
            <w:pPr>
              <w:spacing w:after="0" w:line="259" w:lineRule="auto"/>
              <w:ind w:left="0" w:right="65" w:firstLine="0"/>
            </w:pPr>
            <w:r>
              <w:t>1</w:t>
            </w:r>
            <w:r w:rsidR="00A20A70" w:rsidRPr="00A20A70">
              <w:rPr>
                <w:vertAlign w:val="superscript"/>
              </w:rPr>
              <w:t>st</w:t>
            </w:r>
            <w:r w:rsidR="00A20A70">
              <w:t xml:space="preserve"> </w:t>
            </w:r>
            <w:r>
              <w:t xml:space="preserve">BCL, </w:t>
            </w:r>
            <w:r w:rsidR="00A20A70">
              <w:t>1</w:t>
            </w:r>
            <w:r w:rsidR="00A20A70">
              <w:rPr>
                <w:vertAlign w:val="superscript"/>
              </w:rPr>
              <w:t>st</w:t>
            </w:r>
            <w:r w:rsidR="00A20A70">
              <w:t xml:space="preserve"> BCL (Business)</w:t>
            </w:r>
            <w:r w:rsidR="00A20A70">
              <w:t>,</w:t>
            </w:r>
            <w:r w:rsidR="00A20A70">
              <w:t xml:space="preserve"> </w:t>
            </w:r>
            <w:r>
              <w:t>1</w:t>
            </w:r>
            <w:r>
              <w:rPr>
                <w:vertAlign w:val="superscript"/>
              </w:rPr>
              <w:t>st</w:t>
            </w:r>
            <w:r>
              <w:t xml:space="preserve"> BCL (Criminology), </w:t>
            </w:r>
            <w:r w:rsidR="00A20A70">
              <w:t>1</w:t>
            </w:r>
            <w:r w:rsidR="00A20A70">
              <w:rPr>
                <w:vertAlign w:val="superscript"/>
              </w:rPr>
              <w:t>st</w:t>
            </w:r>
            <w:r w:rsidR="00A20A70">
              <w:t xml:space="preserve"> BCL (Human Rights), </w:t>
            </w:r>
            <w:r>
              <w:t>and 1</w:t>
            </w:r>
            <w:r>
              <w:rPr>
                <w:vertAlign w:val="superscript"/>
              </w:rPr>
              <w:t>st</w:t>
            </w:r>
            <w:r>
              <w:t xml:space="preserve"> LL.B. </w:t>
            </w:r>
          </w:p>
        </w:tc>
      </w:tr>
      <w:tr w:rsidR="00C07257" w14:paraId="3B8A5EB8" w14:textId="77777777">
        <w:trPr>
          <w:trHeight w:val="562"/>
        </w:trPr>
        <w:tc>
          <w:tcPr>
            <w:tcW w:w="1913" w:type="dxa"/>
            <w:tcBorders>
              <w:top w:val="single" w:sz="4" w:space="0" w:color="000000"/>
              <w:left w:val="nil"/>
              <w:bottom w:val="single" w:sz="4" w:space="0" w:color="000000"/>
              <w:right w:val="nil"/>
            </w:tcBorders>
          </w:tcPr>
          <w:p w14:paraId="53AB483A" w14:textId="77777777" w:rsidR="00C07257" w:rsidRDefault="0094465E">
            <w:pPr>
              <w:spacing w:after="0" w:line="259" w:lineRule="auto"/>
              <w:ind w:left="113" w:firstLine="0"/>
              <w:jc w:val="left"/>
            </w:pPr>
            <w:r>
              <w:rPr>
                <w:b/>
              </w:rPr>
              <w:t xml:space="preserve"> </w:t>
            </w:r>
          </w:p>
          <w:p w14:paraId="6CFEBB4D" w14:textId="77777777" w:rsidR="00C07257" w:rsidRDefault="0094465E">
            <w:pPr>
              <w:spacing w:after="0" w:line="259" w:lineRule="auto"/>
              <w:ind w:left="113" w:firstLine="0"/>
              <w:jc w:val="left"/>
            </w:pPr>
            <w:r>
              <w:rPr>
                <w:b/>
              </w:rPr>
              <w:t xml:space="preserve"> </w:t>
            </w:r>
          </w:p>
        </w:tc>
        <w:tc>
          <w:tcPr>
            <w:tcW w:w="6614" w:type="dxa"/>
            <w:tcBorders>
              <w:top w:val="single" w:sz="4" w:space="0" w:color="000000"/>
              <w:left w:val="nil"/>
              <w:bottom w:val="single" w:sz="4" w:space="0" w:color="000000"/>
              <w:right w:val="nil"/>
            </w:tcBorders>
          </w:tcPr>
          <w:p w14:paraId="036457D6" w14:textId="77777777" w:rsidR="00C07257" w:rsidRDefault="00C07257">
            <w:pPr>
              <w:spacing w:after="160" w:line="259" w:lineRule="auto"/>
              <w:ind w:left="0" w:firstLine="0"/>
              <w:jc w:val="left"/>
            </w:pPr>
          </w:p>
        </w:tc>
      </w:tr>
      <w:tr w:rsidR="00C07257" w14:paraId="473E98A3" w14:textId="77777777">
        <w:trPr>
          <w:trHeight w:val="879"/>
        </w:trPr>
        <w:tc>
          <w:tcPr>
            <w:tcW w:w="1913" w:type="dxa"/>
            <w:tcBorders>
              <w:top w:val="single" w:sz="4" w:space="0" w:color="000000"/>
              <w:left w:val="single" w:sz="4" w:space="0" w:color="000000"/>
              <w:bottom w:val="single" w:sz="4" w:space="0" w:color="000000"/>
              <w:right w:val="nil"/>
            </w:tcBorders>
          </w:tcPr>
          <w:p w14:paraId="4660989A" w14:textId="77777777" w:rsidR="00C07257" w:rsidRDefault="0094465E">
            <w:pPr>
              <w:spacing w:after="0" w:line="259" w:lineRule="auto"/>
              <w:ind w:left="113" w:firstLine="0"/>
              <w:jc w:val="left"/>
            </w:pPr>
            <w:r>
              <w:rPr>
                <w:b/>
              </w:rPr>
              <w:t>Course Material</w:t>
            </w:r>
            <w:r>
              <w:t xml:space="preserve">: </w:t>
            </w:r>
          </w:p>
        </w:tc>
        <w:tc>
          <w:tcPr>
            <w:tcW w:w="6614" w:type="dxa"/>
            <w:tcBorders>
              <w:top w:val="single" w:sz="4" w:space="0" w:color="000000"/>
              <w:left w:val="nil"/>
              <w:bottom w:val="single" w:sz="4" w:space="0" w:color="000000"/>
              <w:right w:val="single" w:sz="4" w:space="0" w:color="000000"/>
            </w:tcBorders>
            <w:vAlign w:val="bottom"/>
          </w:tcPr>
          <w:p w14:paraId="02CB2B09" w14:textId="6B82D09F" w:rsidR="00C07257" w:rsidRDefault="0094465E">
            <w:pPr>
              <w:spacing w:after="0" w:line="259" w:lineRule="auto"/>
              <w:ind w:left="0" w:firstLine="0"/>
            </w:pPr>
            <w:r>
              <w:t xml:space="preserve">Some of the relevant materials (announcements, assignment details, further readings, etc) will be available on </w:t>
            </w:r>
            <w:r w:rsidR="0041263B">
              <w:t>Canvas</w:t>
            </w:r>
            <w:r>
              <w:t xml:space="preserve">. </w:t>
            </w:r>
          </w:p>
        </w:tc>
      </w:tr>
    </w:tbl>
    <w:p w14:paraId="4772910A" w14:textId="77777777" w:rsidR="00C07257" w:rsidRDefault="0094465E">
      <w:pPr>
        <w:spacing w:after="0" w:line="259" w:lineRule="auto"/>
        <w:ind w:left="0" w:firstLine="0"/>
        <w:jc w:val="left"/>
      </w:pPr>
      <w:r>
        <w:rPr>
          <w:rFonts w:cs="Arial"/>
          <w:b/>
        </w:rPr>
        <w:t xml:space="preserve"> </w:t>
      </w:r>
    </w:p>
    <w:p w14:paraId="113305BA" w14:textId="77777777" w:rsidR="00C07257" w:rsidRDefault="0094465E">
      <w:pPr>
        <w:spacing w:after="0" w:line="259" w:lineRule="auto"/>
        <w:ind w:left="0" w:firstLine="0"/>
        <w:jc w:val="left"/>
      </w:pPr>
      <w:r>
        <w:rPr>
          <w:rFonts w:cs="Arial"/>
          <w:b/>
        </w:rPr>
        <w:t xml:space="preserve"> </w:t>
      </w:r>
    </w:p>
    <w:tbl>
      <w:tblPr>
        <w:tblStyle w:val="TableGrid"/>
        <w:tblW w:w="8526" w:type="dxa"/>
        <w:tblInd w:w="-113" w:type="dxa"/>
        <w:tblCellMar>
          <w:top w:w="32" w:type="dxa"/>
          <w:right w:w="46" w:type="dxa"/>
        </w:tblCellMar>
        <w:tblLook w:val="04A0" w:firstRow="1" w:lastRow="0" w:firstColumn="1" w:lastColumn="0" w:noHBand="0" w:noVBand="1"/>
      </w:tblPr>
      <w:tblGrid>
        <w:gridCol w:w="1913"/>
        <w:gridCol w:w="6613"/>
      </w:tblGrid>
      <w:tr w:rsidR="00C07257" w14:paraId="086E3774" w14:textId="77777777">
        <w:trPr>
          <w:trHeight w:val="2535"/>
        </w:trPr>
        <w:tc>
          <w:tcPr>
            <w:tcW w:w="1913" w:type="dxa"/>
            <w:tcBorders>
              <w:top w:val="single" w:sz="4" w:space="0" w:color="000000"/>
              <w:left w:val="single" w:sz="4" w:space="0" w:color="000000"/>
              <w:bottom w:val="single" w:sz="4" w:space="0" w:color="000000"/>
              <w:right w:val="nil"/>
            </w:tcBorders>
          </w:tcPr>
          <w:p w14:paraId="6D6F62EB" w14:textId="77777777" w:rsidR="00C07257" w:rsidRDefault="0094465E">
            <w:pPr>
              <w:spacing w:after="806" w:line="259" w:lineRule="auto"/>
              <w:ind w:left="113" w:firstLine="0"/>
              <w:jc w:val="left"/>
            </w:pPr>
            <w:r>
              <w:rPr>
                <w:b/>
              </w:rPr>
              <w:t>Core Texts</w:t>
            </w:r>
            <w:r>
              <w:t xml:space="preserve">: </w:t>
            </w:r>
          </w:p>
          <w:p w14:paraId="6532D3F8" w14:textId="77777777" w:rsidR="00C07257" w:rsidRDefault="0094465E">
            <w:pPr>
              <w:spacing w:after="806" w:line="259" w:lineRule="auto"/>
              <w:ind w:left="113" w:firstLine="0"/>
              <w:jc w:val="left"/>
            </w:pPr>
            <w:r>
              <w:rPr>
                <w:b/>
              </w:rPr>
              <w:t xml:space="preserve"> </w:t>
            </w:r>
          </w:p>
          <w:p w14:paraId="69FAC202" w14:textId="77777777" w:rsidR="00C07257" w:rsidRDefault="0094465E">
            <w:pPr>
              <w:spacing w:after="0" w:line="259" w:lineRule="auto"/>
              <w:ind w:left="113" w:firstLine="0"/>
              <w:jc w:val="left"/>
            </w:pPr>
            <w:r>
              <w:t xml:space="preserve"> </w:t>
            </w:r>
          </w:p>
        </w:tc>
        <w:tc>
          <w:tcPr>
            <w:tcW w:w="6614" w:type="dxa"/>
            <w:tcBorders>
              <w:top w:val="single" w:sz="4" w:space="0" w:color="000000"/>
              <w:left w:val="nil"/>
              <w:bottom w:val="single" w:sz="4" w:space="0" w:color="000000"/>
              <w:right w:val="single" w:sz="4" w:space="0" w:color="000000"/>
            </w:tcBorders>
          </w:tcPr>
          <w:p w14:paraId="53F1BCAA" w14:textId="77777777" w:rsidR="00C07257" w:rsidRDefault="0094465E">
            <w:pPr>
              <w:spacing w:after="0" w:line="243" w:lineRule="auto"/>
              <w:ind w:left="0" w:right="63" w:firstLine="0"/>
            </w:pPr>
            <w:r>
              <w:t xml:space="preserve">Raymond Byrne, Paul McCutcheon, Laura Cahillane and Emma Roche-Cagney, </w:t>
            </w:r>
            <w:r>
              <w:rPr>
                <w:i/>
              </w:rPr>
              <w:t>Byrne and McCutcheon on the Irish Legal System</w:t>
            </w:r>
            <w:r>
              <w:t>, 7</w:t>
            </w:r>
            <w:r>
              <w:rPr>
                <w:vertAlign w:val="superscript"/>
              </w:rPr>
              <w:t>th</w:t>
            </w:r>
            <w:r>
              <w:t xml:space="preserve"> ed, (Dublin, Bloomsbury, 2021) (available free though University of Galway library website) </w:t>
            </w:r>
          </w:p>
          <w:p w14:paraId="7BDF9BD9" w14:textId="77777777" w:rsidR="00C07257" w:rsidRDefault="0094465E">
            <w:pPr>
              <w:spacing w:after="0" w:line="259" w:lineRule="auto"/>
              <w:ind w:left="0" w:firstLine="0"/>
            </w:pPr>
            <w:r>
              <w:t xml:space="preserve">Jennifer Schweppe, Rónán Kennedy, and Lawrence </w:t>
            </w:r>
          </w:p>
          <w:p w14:paraId="4C6AC8B8" w14:textId="77777777" w:rsidR="00C07257" w:rsidRDefault="0094465E">
            <w:pPr>
              <w:spacing w:after="0" w:line="245" w:lineRule="auto"/>
              <w:ind w:left="0" w:right="65" w:firstLine="0"/>
            </w:pPr>
            <w:r>
              <w:t xml:space="preserve">Donnelly, </w:t>
            </w:r>
            <w:r>
              <w:rPr>
                <w:i/>
              </w:rPr>
              <w:t>How to think, write and cite: Key skills for Irish law students</w:t>
            </w:r>
            <w:r>
              <w:t xml:space="preserve"> (Dublin, Round Hall Thompson Reuters, 2</w:t>
            </w:r>
            <w:r>
              <w:rPr>
                <w:vertAlign w:val="superscript"/>
              </w:rPr>
              <w:t>nd</w:t>
            </w:r>
            <w:r>
              <w:t xml:space="preserve"> ed, 2016) </w:t>
            </w:r>
          </w:p>
          <w:p w14:paraId="37A32278" w14:textId="77777777" w:rsidR="00C07257" w:rsidRDefault="0094465E">
            <w:pPr>
              <w:spacing w:after="0" w:line="259" w:lineRule="auto"/>
              <w:ind w:left="0" w:firstLine="0"/>
              <w:jc w:val="left"/>
            </w:pPr>
            <w:r>
              <w:rPr>
                <w:i/>
              </w:rPr>
              <w:t xml:space="preserve">Bunreacht na hÉireann </w:t>
            </w:r>
          </w:p>
        </w:tc>
      </w:tr>
    </w:tbl>
    <w:p w14:paraId="739C0053" w14:textId="7CF69555" w:rsidR="00C07257" w:rsidRDefault="0094465E">
      <w:pPr>
        <w:spacing w:after="0" w:line="259" w:lineRule="auto"/>
        <w:ind w:left="0" w:firstLine="0"/>
        <w:jc w:val="left"/>
      </w:pPr>
      <w:r>
        <w:t xml:space="preserve"> </w:t>
      </w:r>
    </w:p>
    <w:p w14:paraId="6CF6E97C" w14:textId="186A3085" w:rsidR="00C07257" w:rsidRDefault="0094465E">
      <w:pPr>
        <w:spacing w:after="0" w:line="259" w:lineRule="auto"/>
        <w:ind w:left="0" w:firstLine="0"/>
        <w:jc w:val="left"/>
      </w:pPr>
      <w:r>
        <w:t xml:space="preserve"> </w:t>
      </w:r>
    </w:p>
    <w:tbl>
      <w:tblPr>
        <w:tblStyle w:val="TableGrid"/>
        <w:tblW w:w="8526" w:type="dxa"/>
        <w:tblInd w:w="-113" w:type="dxa"/>
        <w:tblCellMar>
          <w:top w:w="13" w:type="dxa"/>
          <w:right w:w="46" w:type="dxa"/>
        </w:tblCellMar>
        <w:tblLook w:val="04A0" w:firstRow="1" w:lastRow="0" w:firstColumn="1" w:lastColumn="0" w:noHBand="0" w:noVBand="1"/>
      </w:tblPr>
      <w:tblGrid>
        <w:gridCol w:w="1913"/>
        <w:gridCol w:w="6613"/>
      </w:tblGrid>
      <w:tr w:rsidR="00C07257" w14:paraId="4950F00C" w14:textId="77777777">
        <w:trPr>
          <w:trHeight w:val="1155"/>
        </w:trPr>
        <w:tc>
          <w:tcPr>
            <w:tcW w:w="1913" w:type="dxa"/>
            <w:tcBorders>
              <w:top w:val="single" w:sz="4" w:space="0" w:color="000000"/>
              <w:left w:val="single" w:sz="4" w:space="0" w:color="000000"/>
              <w:bottom w:val="single" w:sz="4" w:space="0" w:color="000000"/>
              <w:right w:val="nil"/>
            </w:tcBorders>
          </w:tcPr>
          <w:p w14:paraId="576824F8" w14:textId="77777777" w:rsidR="00C07257" w:rsidRDefault="0094465E">
            <w:pPr>
              <w:spacing w:after="0" w:line="259" w:lineRule="auto"/>
              <w:ind w:left="113" w:firstLine="0"/>
            </w:pPr>
            <w:r>
              <w:rPr>
                <w:b/>
              </w:rPr>
              <w:t>Assessments:</w:t>
            </w:r>
            <w:r>
              <w:t xml:space="preserve"> </w:t>
            </w:r>
          </w:p>
        </w:tc>
        <w:tc>
          <w:tcPr>
            <w:tcW w:w="6614" w:type="dxa"/>
            <w:tcBorders>
              <w:top w:val="single" w:sz="4" w:space="0" w:color="000000"/>
              <w:left w:val="nil"/>
              <w:bottom w:val="single" w:sz="4" w:space="0" w:color="000000"/>
              <w:right w:val="single" w:sz="4" w:space="0" w:color="000000"/>
            </w:tcBorders>
          </w:tcPr>
          <w:p w14:paraId="515F1FB9" w14:textId="51D9FA29" w:rsidR="00C07257" w:rsidRDefault="0094465E">
            <w:pPr>
              <w:spacing w:after="0" w:line="259" w:lineRule="auto"/>
              <w:ind w:left="0" w:right="64" w:firstLine="0"/>
            </w:pPr>
            <w:r>
              <w:t>100% continuous assessment. There will be a series of progressively more involved assign</w:t>
            </w:r>
            <w:r w:rsidR="008441F0">
              <w:t xml:space="preserve">ments. Please see page 6 </w:t>
            </w:r>
            <w:r>
              <w:t xml:space="preserve">for a detailed breakdown of assignments and their due dates.  </w:t>
            </w:r>
          </w:p>
        </w:tc>
      </w:tr>
      <w:tr w:rsidR="00C07257" w14:paraId="604F8031" w14:textId="77777777">
        <w:trPr>
          <w:trHeight w:val="286"/>
        </w:trPr>
        <w:tc>
          <w:tcPr>
            <w:tcW w:w="1913" w:type="dxa"/>
            <w:tcBorders>
              <w:top w:val="single" w:sz="4" w:space="0" w:color="000000"/>
              <w:left w:val="nil"/>
              <w:bottom w:val="single" w:sz="4" w:space="0" w:color="000000"/>
              <w:right w:val="nil"/>
            </w:tcBorders>
          </w:tcPr>
          <w:p w14:paraId="4115CF28" w14:textId="77777777" w:rsidR="00C07257" w:rsidRDefault="0094465E">
            <w:pPr>
              <w:spacing w:after="0" w:line="259" w:lineRule="auto"/>
              <w:ind w:left="113" w:firstLine="0"/>
              <w:jc w:val="left"/>
            </w:pPr>
            <w:r>
              <w:t xml:space="preserve"> </w:t>
            </w:r>
          </w:p>
        </w:tc>
        <w:tc>
          <w:tcPr>
            <w:tcW w:w="6614" w:type="dxa"/>
            <w:tcBorders>
              <w:top w:val="single" w:sz="4" w:space="0" w:color="000000"/>
              <w:left w:val="nil"/>
              <w:bottom w:val="single" w:sz="4" w:space="0" w:color="000000"/>
              <w:right w:val="nil"/>
            </w:tcBorders>
          </w:tcPr>
          <w:p w14:paraId="7CB9005A" w14:textId="77777777" w:rsidR="00C07257" w:rsidRDefault="00C07257">
            <w:pPr>
              <w:spacing w:after="160" w:line="259" w:lineRule="auto"/>
              <w:ind w:left="0" w:firstLine="0"/>
              <w:jc w:val="left"/>
            </w:pPr>
          </w:p>
        </w:tc>
      </w:tr>
      <w:tr w:rsidR="00C07257" w14:paraId="032B24EA" w14:textId="77777777">
        <w:trPr>
          <w:trHeight w:val="602"/>
        </w:trPr>
        <w:tc>
          <w:tcPr>
            <w:tcW w:w="1913" w:type="dxa"/>
            <w:tcBorders>
              <w:top w:val="single" w:sz="4" w:space="0" w:color="000000"/>
              <w:left w:val="single" w:sz="4" w:space="0" w:color="000000"/>
              <w:bottom w:val="single" w:sz="4" w:space="0" w:color="000000"/>
              <w:right w:val="nil"/>
            </w:tcBorders>
          </w:tcPr>
          <w:p w14:paraId="64F5CF9C" w14:textId="77777777" w:rsidR="00C07257" w:rsidRDefault="0094465E">
            <w:pPr>
              <w:spacing w:after="0" w:line="259" w:lineRule="auto"/>
              <w:ind w:left="113" w:firstLine="0"/>
              <w:jc w:val="left"/>
            </w:pPr>
            <w:r>
              <w:rPr>
                <w:b/>
              </w:rPr>
              <w:t xml:space="preserve">Credit </w:t>
            </w:r>
            <w:r>
              <w:t xml:space="preserve"> </w:t>
            </w:r>
          </w:p>
          <w:p w14:paraId="452A7E85" w14:textId="77777777" w:rsidR="00C07257" w:rsidRDefault="0094465E">
            <w:pPr>
              <w:spacing w:after="0" w:line="259" w:lineRule="auto"/>
              <w:ind w:left="113" w:firstLine="0"/>
              <w:jc w:val="left"/>
            </w:pPr>
            <w:r>
              <w:rPr>
                <w:b/>
              </w:rPr>
              <w:t xml:space="preserve">Weighting </w:t>
            </w:r>
          </w:p>
        </w:tc>
        <w:tc>
          <w:tcPr>
            <w:tcW w:w="6614" w:type="dxa"/>
            <w:tcBorders>
              <w:top w:val="single" w:sz="4" w:space="0" w:color="000000"/>
              <w:left w:val="nil"/>
              <w:bottom w:val="single" w:sz="4" w:space="0" w:color="000000"/>
              <w:right w:val="single" w:sz="4" w:space="0" w:color="000000"/>
            </w:tcBorders>
          </w:tcPr>
          <w:p w14:paraId="0A448EE9" w14:textId="77777777" w:rsidR="00C07257" w:rsidRDefault="0094465E">
            <w:pPr>
              <w:spacing w:after="0" w:line="259" w:lineRule="auto"/>
              <w:ind w:left="0" w:firstLine="0"/>
              <w:jc w:val="left"/>
            </w:pPr>
            <w:r>
              <w:t xml:space="preserve">10 ECTS </w:t>
            </w:r>
          </w:p>
        </w:tc>
      </w:tr>
      <w:tr w:rsidR="00C07257" w14:paraId="72C6F60B" w14:textId="77777777">
        <w:trPr>
          <w:trHeight w:val="286"/>
        </w:trPr>
        <w:tc>
          <w:tcPr>
            <w:tcW w:w="1913" w:type="dxa"/>
            <w:tcBorders>
              <w:top w:val="single" w:sz="4" w:space="0" w:color="000000"/>
              <w:left w:val="nil"/>
              <w:bottom w:val="single" w:sz="4" w:space="0" w:color="000000"/>
              <w:right w:val="nil"/>
            </w:tcBorders>
          </w:tcPr>
          <w:p w14:paraId="2933D530" w14:textId="77777777" w:rsidR="00C07257" w:rsidRDefault="0094465E">
            <w:pPr>
              <w:spacing w:after="0" w:line="259" w:lineRule="auto"/>
              <w:ind w:left="113" w:firstLine="0"/>
              <w:jc w:val="left"/>
            </w:pPr>
            <w:r>
              <w:t xml:space="preserve"> </w:t>
            </w:r>
          </w:p>
        </w:tc>
        <w:tc>
          <w:tcPr>
            <w:tcW w:w="6614" w:type="dxa"/>
            <w:tcBorders>
              <w:top w:val="single" w:sz="4" w:space="0" w:color="000000"/>
              <w:left w:val="nil"/>
              <w:bottom w:val="single" w:sz="4" w:space="0" w:color="000000"/>
              <w:right w:val="nil"/>
            </w:tcBorders>
          </w:tcPr>
          <w:p w14:paraId="44866469" w14:textId="77777777" w:rsidR="00C07257" w:rsidRDefault="00C07257">
            <w:pPr>
              <w:spacing w:after="160" w:line="259" w:lineRule="auto"/>
              <w:ind w:left="0" w:firstLine="0"/>
              <w:jc w:val="left"/>
            </w:pPr>
          </w:p>
        </w:tc>
      </w:tr>
      <w:tr w:rsidR="00C07257" w14:paraId="53CB95BB" w14:textId="77777777">
        <w:trPr>
          <w:trHeight w:val="878"/>
        </w:trPr>
        <w:tc>
          <w:tcPr>
            <w:tcW w:w="1913" w:type="dxa"/>
            <w:tcBorders>
              <w:top w:val="single" w:sz="4" w:space="0" w:color="000000"/>
              <w:left w:val="single" w:sz="4" w:space="0" w:color="000000"/>
              <w:bottom w:val="single" w:sz="4" w:space="0" w:color="000000"/>
              <w:right w:val="nil"/>
            </w:tcBorders>
          </w:tcPr>
          <w:p w14:paraId="55DA0565" w14:textId="77777777" w:rsidR="00C07257" w:rsidRDefault="0094465E">
            <w:pPr>
              <w:spacing w:after="0" w:line="240" w:lineRule="auto"/>
              <w:ind w:left="113" w:firstLine="0"/>
              <w:jc w:val="left"/>
            </w:pPr>
            <w:r>
              <w:rPr>
                <w:b/>
              </w:rPr>
              <w:t>Workload Hours:</w:t>
            </w:r>
            <w:r>
              <w:t xml:space="preserve"> </w:t>
            </w:r>
          </w:p>
          <w:p w14:paraId="280DE835" w14:textId="77777777" w:rsidR="00C07257" w:rsidRDefault="0094465E">
            <w:pPr>
              <w:spacing w:after="0" w:line="259" w:lineRule="auto"/>
              <w:ind w:left="113" w:firstLine="0"/>
              <w:jc w:val="left"/>
            </w:pPr>
            <w:r>
              <w:t xml:space="preserve"> </w:t>
            </w:r>
          </w:p>
        </w:tc>
        <w:tc>
          <w:tcPr>
            <w:tcW w:w="6614" w:type="dxa"/>
            <w:tcBorders>
              <w:top w:val="single" w:sz="4" w:space="0" w:color="000000"/>
              <w:left w:val="nil"/>
              <w:bottom w:val="single" w:sz="4" w:space="0" w:color="000000"/>
              <w:right w:val="single" w:sz="4" w:space="0" w:color="000000"/>
            </w:tcBorders>
            <w:vAlign w:val="center"/>
          </w:tcPr>
          <w:p w14:paraId="3891FE0A" w14:textId="77777777" w:rsidR="00C07257" w:rsidRDefault="0094465E">
            <w:pPr>
              <w:tabs>
                <w:tab w:val="center" w:pos="2521"/>
              </w:tabs>
              <w:spacing w:after="0" w:line="259" w:lineRule="auto"/>
              <w:ind w:left="0" w:firstLine="0"/>
              <w:jc w:val="left"/>
            </w:pPr>
            <w:r>
              <w:t>Approximately 250.</w:t>
            </w:r>
            <w:r>
              <w:rPr>
                <w:b/>
              </w:rPr>
              <w:t xml:space="preserve"> </w:t>
            </w:r>
            <w:r>
              <w:t xml:space="preserve"> </w:t>
            </w:r>
            <w:r>
              <w:tab/>
              <w:t xml:space="preserve"> </w:t>
            </w:r>
          </w:p>
        </w:tc>
      </w:tr>
    </w:tbl>
    <w:p w14:paraId="4DF65217" w14:textId="2B7CF46B" w:rsidR="00C07257" w:rsidRDefault="0094465E" w:rsidP="00A20A70">
      <w:pPr>
        <w:spacing w:after="0" w:line="259" w:lineRule="auto"/>
        <w:ind w:left="0" w:right="62" w:firstLine="0"/>
        <w:jc w:val="center"/>
      </w:pPr>
      <w:r>
        <w:rPr>
          <w:rFonts w:cs="Arial"/>
          <w:b/>
        </w:rPr>
        <w:t xml:space="preserve">  </w:t>
      </w:r>
    </w:p>
    <w:p w14:paraId="7DB8269A" w14:textId="77777777" w:rsidR="00C07257" w:rsidRDefault="0094465E">
      <w:pPr>
        <w:pStyle w:val="Heading1"/>
      </w:pPr>
      <w:r>
        <w:rPr>
          <w:sz w:val="24"/>
        </w:rPr>
        <w:lastRenderedPageBreak/>
        <w:t xml:space="preserve">ADDITIONAL INFORMATION </w:t>
      </w:r>
    </w:p>
    <w:p w14:paraId="1CADD184" w14:textId="77777777" w:rsidR="00C07257" w:rsidRDefault="0094465E">
      <w:pPr>
        <w:spacing w:after="0" w:line="259" w:lineRule="auto"/>
        <w:ind w:left="0" w:firstLine="0"/>
        <w:jc w:val="left"/>
      </w:pPr>
      <w:r>
        <w:t xml:space="preserve"> </w:t>
      </w:r>
    </w:p>
    <w:p w14:paraId="534B7A43" w14:textId="77777777" w:rsidR="00C07257" w:rsidRDefault="0094465E">
      <w:pPr>
        <w:ind w:left="-5" w:right="114"/>
      </w:pPr>
      <w:r>
        <w:rPr>
          <w:rFonts w:cs="Arial"/>
          <w:b/>
        </w:rPr>
        <w:t>Attendance:</w:t>
      </w:r>
      <w:r>
        <w:t xml:space="preserve"> </w:t>
      </w:r>
      <w:r>
        <w:rPr>
          <w:rFonts w:cs="Arial"/>
          <w:b/>
        </w:rPr>
        <w:t>Attendance at in-person class meetings and tutorials is mandatory</w:t>
      </w:r>
      <w:r>
        <w:t xml:space="preserve">. Students may be called upon to provide their comments, reactions and/or analysis as to any of the assigned readings or tasks during the course because this module is predicated upon active and fully engaged participation. Students are strongly encouraged to contact the lecturers with questions and whenever issues arise.    </w:t>
      </w:r>
    </w:p>
    <w:p w14:paraId="119E36DB" w14:textId="77777777" w:rsidR="00C07257" w:rsidRDefault="0094465E">
      <w:pPr>
        <w:spacing w:after="0" w:line="259" w:lineRule="auto"/>
        <w:ind w:left="0" w:firstLine="0"/>
        <w:jc w:val="left"/>
      </w:pPr>
      <w:r>
        <w:t xml:space="preserve"> </w:t>
      </w:r>
    </w:p>
    <w:p w14:paraId="7DAB3337" w14:textId="77777777" w:rsidR="00C07257" w:rsidRDefault="0094465E">
      <w:pPr>
        <w:ind w:left="-5" w:right="114"/>
      </w:pPr>
      <w:r>
        <w:rPr>
          <w:rFonts w:cs="Arial"/>
          <w:b/>
        </w:rPr>
        <w:t>Late Assignments:</w:t>
      </w:r>
      <w:r>
        <w:t xml:space="preserve"> It is imperative that assignments be submitted by the notified deadline. While late submissions will attract penalties, it is recognised that, at times, extensions may become necessary.  If any student ever requires an extension to complete an assignment, kindly make contact with the lecturer as the need arises.  Provided the reason is a valid one, the request will be accommodated.  </w:t>
      </w:r>
    </w:p>
    <w:p w14:paraId="2BD8C602" w14:textId="77777777" w:rsidR="00C07257" w:rsidRDefault="0094465E">
      <w:pPr>
        <w:spacing w:after="0" w:line="259" w:lineRule="auto"/>
        <w:ind w:left="0" w:firstLine="0"/>
        <w:jc w:val="left"/>
      </w:pPr>
      <w:r>
        <w:t xml:space="preserve"> </w:t>
      </w:r>
    </w:p>
    <w:p w14:paraId="36310C79" w14:textId="77777777" w:rsidR="00C07257" w:rsidRDefault="0094465E">
      <w:pPr>
        <w:ind w:left="-5" w:right="114"/>
      </w:pPr>
      <w:r>
        <w:rPr>
          <w:rFonts w:cs="Arial"/>
          <w:b/>
        </w:rPr>
        <w:t>Plagiarism:</w:t>
      </w:r>
      <w:r>
        <w:t xml:space="preserve"> Students should familiarise themselves with the contents of the Code of Practice on Plagiarism, which applies to all written work submitted to the faculty. Students should note that there will be heavy penalties, including disciplinary proceedings where appropriate, for plagiarism (using passages from another person’s work, published or otherwise, without appropriate acknowledgement). For further information on the code and on legal writing generally, please see </w:t>
      </w:r>
      <w:hyperlink r:id="rId7">
        <w:r>
          <w:rPr>
            <w:color w:val="0000FF"/>
            <w:u w:val="single" w:color="0000FF"/>
          </w:rPr>
          <w:t>http://www.universityofgalway.ie/law/legal_writing.html</w:t>
        </w:r>
      </w:hyperlink>
      <w:hyperlink r:id="rId8">
        <w:r>
          <w:t>.</w:t>
        </w:r>
      </w:hyperlink>
      <w:r>
        <w:t xml:space="preserve"> </w:t>
      </w:r>
    </w:p>
    <w:p w14:paraId="12B85E51" w14:textId="77777777" w:rsidR="00C07257" w:rsidRDefault="0094465E">
      <w:pPr>
        <w:spacing w:after="0" w:line="259" w:lineRule="auto"/>
        <w:ind w:left="0" w:firstLine="0"/>
        <w:jc w:val="left"/>
      </w:pPr>
      <w:r>
        <w:t xml:space="preserve"> </w:t>
      </w:r>
    </w:p>
    <w:p w14:paraId="46071388" w14:textId="77777777" w:rsidR="00C07257" w:rsidRDefault="0094465E">
      <w:pPr>
        <w:ind w:left="-5" w:right="114"/>
      </w:pPr>
      <w:r>
        <w:rPr>
          <w:rFonts w:cs="Arial"/>
          <w:b/>
        </w:rPr>
        <w:t xml:space="preserve">Legal Citation:  </w:t>
      </w:r>
      <w:r>
        <w:t xml:space="preserve">Students must use appropriate legal citation in all written assignments.  Failure to use proper legal citation will result in penalties.  The main textbook for legal citation is Jennifer Schweppe, Rónán Kennedy, Lawrence Donnelly, </w:t>
      </w:r>
      <w:r>
        <w:rPr>
          <w:rFonts w:cs="Arial"/>
          <w:i/>
        </w:rPr>
        <w:t>How to think, write and cite: Key skills for Irish law students</w:t>
      </w:r>
      <w:r>
        <w:t xml:space="preserve"> (Dublin, Round Hall Thompson Reuters, 2</w:t>
      </w:r>
      <w:r>
        <w:rPr>
          <w:vertAlign w:val="superscript"/>
        </w:rPr>
        <w:t>nd</w:t>
      </w:r>
      <w:r>
        <w:t xml:space="preserve"> ed, 2016).  Students can access the OSCOLA Ireland citation guide online.  This citation guide was originally developed by OSCOLA by the Faculty of Law at Oxford University and has been adapted by a number of Irish academics with a view to creating a uniform citation style for Ireland. OSCOLA Ireland is available at: </w:t>
      </w:r>
      <w:hyperlink r:id="rId9">
        <w:r>
          <w:rPr>
            <w:color w:val="0000FF"/>
            <w:u w:val="single" w:color="0000FF"/>
          </w:rPr>
          <w:t>http://www.legalcitation.ie/page5/files/OSCOLA%20Ireland%202011.pdf</w:t>
        </w:r>
      </w:hyperlink>
      <w:hyperlink r:id="rId10">
        <w:r>
          <w:t>.</w:t>
        </w:r>
      </w:hyperlink>
      <w:r>
        <w:t xml:space="preserve"> </w:t>
      </w:r>
    </w:p>
    <w:p w14:paraId="18851489" w14:textId="77777777" w:rsidR="00C07257" w:rsidRDefault="0094465E">
      <w:pPr>
        <w:spacing w:after="0" w:line="259" w:lineRule="auto"/>
        <w:ind w:left="0" w:firstLine="0"/>
        <w:jc w:val="left"/>
      </w:pPr>
      <w:r>
        <w:rPr>
          <w:rFonts w:cs="Arial"/>
          <w:b/>
        </w:rPr>
        <w:t xml:space="preserve"> </w:t>
      </w:r>
    </w:p>
    <w:p w14:paraId="4471943A" w14:textId="77777777" w:rsidR="00C07257" w:rsidRDefault="0094465E">
      <w:pPr>
        <w:spacing w:after="0" w:line="259" w:lineRule="auto"/>
        <w:ind w:left="0" w:firstLine="0"/>
        <w:jc w:val="left"/>
      </w:pPr>
      <w:r>
        <w:rPr>
          <w:rFonts w:cs="Arial"/>
          <w:b/>
        </w:rPr>
        <w:t xml:space="preserve"> </w:t>
      </w:r>
    </w:p>
    <w:p w14:paraId="54504159" w14:textId="77777777" w:rsidR="00C07257" w:rsidRDefault="0094465E">
      <w:pPr>
        <w:spacing w:after="0" w:line="259" w:lineRule="auto"/>
        <w:ind w:left="0" w:firstLine="0"/>
        <w:jc w:val="left"/>
      </w:pPr>
      <w:r>
        <w:rPr>
          <w:rFonts w:cs="Arial"/>
          <w:b/>
        </w:rPr>
        <w:t xml:space="preserve"> </w:t>
      </w:r>
    </w:p>
    <w:p w14:paraId="25E7C9BA" w14:textId="77777777" w:rsidR="00C07257" w:rsidRDefault="0094465E">
      <w:pPr>
        <w:spacing w:after="0" w:line="259" w:lineRule="auto"/>
        <w:ind w:left="0" w:firstLine="0"/>
        <w:jc w:val="left"/>
        <w:rPr>
          <w:rFonts w:cs="Arial"/>
          <w:b/>
        </w:rPr>
      </w:pPr>
      <w:r>
        <w:rPr>
          <w:rFonts w:cs="Arial"/>
          <w:b/>
        </w:rPr>
        <w:t xml:space="preserve"> </w:t>
      </w:r>
    </w:p>
    <w:p w14:paraId="247083AC" w14:textId="77777777" w:rsidR="00A20A70" w:rsidRDefault="00A20A70">
      <w:pPr>
        <w:spacing w:after="0" w:line="259" w:lineRule="auto"/>
        <w:ind w:left="0" w:firstLine="0"/>
        <w:jc w:val="left"/>
        <w:rPr>
          <w:rFonts w:cs="Arial"/>
          <w:b/>
        </w:rPr>
      </w:pPr>
    </w:p>
    <w:p w14:paraId="35CC789F" w14:textId="77777777" w:rsidR="00A20A70" w:rsidRDefault="00A20A70">
      <w:pPr>
        <w:spacing w:after="0" w:line="259" w:lineRule="auto"/>
        <w:ind w:left="0" w:firstLine="0"/>
        <w:jc w:val="left"/>
        <w:rPr>
          <w:rFonts w:cs="Arial"/>
          <w:b/>
        </w:rPr>
      </w:pPr>
    </w:p>
    <w:p w14:paraId="22BCFCD4" w14:textId="77777777" w:rsidR="00A20A70" w:rsidRDefault="00A20A70">
      <w:pPr>
        <w:spacing w:after="0" w:line="259" w:lineRule="auto"/>
        <w:ind w:left="0" w:firstLine="0"/>
        <w:jc w:val="left"/>
        <w:rPr>
          <w:rFonts w:cs="Arial"/>
          <w:b/>
        </w:rPr>
      </w:pPr>
    </w:p>
    <w:p w14:paraId="6559EC42" w14:textId="77777777" w:rsidR="00A20A70" w:rsidRDefault="00A20A70">
      <w:pPr>
        <w:spacing w:after="0" w:line="259" w:lineRule="auto"/>
        <w:ind w:left="0" w:firstLine="0"/>
        <w:jc w:val="left"/>
        <w:rPr>
          <w:rFonts w:cs="Arial"/>
          <w:b/>
        </w:rPr>
      </w:pPr>
    </w:p>
    <w:p w14:paraId="62945C12" w14:textId="77777777" w:rsidR="00A20A70" w:rsidRDefault="00A20A70">
      <w:pPr>
        <w:spacing w:after="0" w:line="259" w:lineRule="auto"/>
        <w:ind w:left="0" w:firstLine="0"/>
        <w:jc w:val="left"/>
      </w:pPr>
    </w:p>
    <w:p w14:paraId="469A2E90" w14:textId="549EDCA6" w:rsidR="00C07257" w:rsidRDefault="00C07257">
      <w:pPr>
        <w:spacing w:after="0" w:line="259" w:lineRule="auto"/>
        <w:ind w:left="0" w:firstLine="0"/>
        <w:jc w:val="left"/>
      </w:pPr>
    </w:p>
    <w:p w14:paraId="23F926A0" w14:textId="77777777" w:rsidR="00C07257" w:rsidRDefault="0094465E">
      <w:pPr>
        <w:spacing w:after="0" w:line="259" w:lineRule="auto"/>
        <w:ind w:left="0" w:firstLine="0"/>
        <w:jc w:val="left"/>
      </w:pPr>
      <w:r>
        <w:rPr>
          <w:rFonts w:cs="Arial"/>
          <w:b/>
        </w:rPr>
        <w:t xml:space="preserve"> </w:t>
      </w:r>
    </w:p>
    <w:p w14:paraId="284B9993" w14:textId="77777777" w:rsidR="00C07257" w:rsidRDefault="0094465E">
      <w:pPr>
        <w:spacing w:after="0" w:line="259" w:lineRule="auto"/>
        <w:ind w:left="0" w:firstLine="0"/>
        <w:jc w:val="left"/>
      </w:pPr>
      <w:r>
        <w:rPr>
          <w:rFonts w:cs="Arial"/>
          <w:b/>
        </w:rPr>
        <w:t xml:space="preserve"> </w:t>
      </w:r>
    </w:p>
    <w:p w14:paraId="774F60E2" w14:textId="77777777" w:rsidR="00C07257" w:rsidRDefault="0094465E">
      <w:pPr>
        <w:pBdr>
          <w:top w:val="single" w:sz="4" w:space="0" w:color="000000"/>
          <w:left w:val="single" w:sz="4" w:space="0" w:color="000000"/>
          <w:bottom w:val="single" w:sz="4" w:space="0" w:color="000000"/>
          <w:right w:val="single" w:sz="4" w:space="0" w:color="000000"/>
        </w:pBdr>
        <w:spacing w:after="0" w:line="249" w:lineRule="auto"/>
        <w:ind w:left="1057" w:hanging="958"/>
        <w:jc w:val="left"/>
      </w:pPr>
      <w:r>
        <w:rPr>
          <w:rFonts w:cs="Arial"/>
          <w:b/>
          <w:sz w:val="28"/>
        </w:rPr>
        <w:lastRenderedPageBreak/>
        <w:t xml:space="preserve">Week 1 – Introduction to the Irish Legal System; Irish Legal History and Introduction to the Legal Method </w:t>
      </w:r>
    </w:p>
    <w:p w14:paraId="3B44BF0E" w14:textId="77777777" w:rsidR="00C07257" w:rsidRDefault="0094465E">
      <w:pPr>
        <w:pBdr>
          <w:top w:val="single" w:sz="4" w:space="0" w:color="000000"/>
          <w:left w:val="single" w:sz="4" w:space="0" w:color="000000"/>
          <w:bottom w:val="single" w:sz="4" w:space="0" w:color="000000"/>
          <w:right w:val="single" w:sz="4" w:space="0" w:color="000000"/>
        </w:pBdr>
        <w:spacing w:after="43" w:line="259" w:lineRule="auto"/>
        <w:ind w:left="99" w:firstLine="0"/>
        <w:jc w:val="left"/>
      </w:pPr>
      <w:r>
        <w:rPr>
          <w:rFonts w:cs="Arial"/>
          <w:b/>
        </w:rPr>
        <w:t xml:space="preserve"> </w:t>
      </w:r>
    </w:p>
    <w:p w14:paraId="576246CA" w14:textId="77777777" w:rsidR="00C07257" w:rsidRDefault="0094465E">
      <w:pPr>
        <w:spacing w:after="0" w:line="259" w:lineRule="auto"/>
        <w:ind w:left="0" w:right="51" w:firstLine="0"/>
        <w:jc w:val="center"/>
      </w:pPr>
      <w:r>
        <w:rPr>
          <w:rFonts w:cs="Arial"/>
          <w:b/>
          <w:sz w:val="28"/>
        </w:rPr>
        <w:t xml:space="preserve"> </w:t>
      </w:r>
    </w:p>
    <w:p w14:paraId="704290E4" w14:textId="77777777" w:rsidR="00C07257" w:rsidRDefault="0094465E">
      <w:pPr>
        <w:pStyle w:val="Heading1"/>
      </w:pPr>
      <w:r>
        <w:t xml:space="preserve">Topics </w:t>
      </w:r>
    </w:p>
    <w:p w14:paraId="44BD6F0B" w14:textId="77777777" w:rsidR="00C07257" w:rsidRDefault="0094465E">
      <w:pPr>
        <w:spacing w:after="0" w:line="259" w:lineRule="auto"/>
        <w:ind w:left="0" w:firstLine="0"/>
        <w:jc w:val="left"/>
      </w:pPr>
      <w:r>
        <w:t xml:space="preserve"> </w:t>
      </w:r>
    </w:p>
    <w:p w14:paraId="3259C859" w14:textId="77777777" w:rsidR="00C07257" w:rsidRDefault="0094465E">
      <w:pPr>
        <w:ind w:left="-5" w:right="114"/>
      </w:pPr>
      <w:r>
        <w:rPr>
          <w:rFonts w:cs="Arial"/>
          <w:b/>
        </w:rPr>
        <w:t>Structure of the Irish Legal System</w:t>
      </w:r>
      <w:r>
        <w:t xml:space="preserve"> – The Constitution – Organs of state – Separation powers – The rule of law  </w:t>
      </w:r>
    </w:p>
    <w:p w14:paraId="3967BF85" w14:textId="77777777" w:rsidR="00C07257" w:rsidRDefault="0094465E">
      <w:pPr>
        <w:spacing w:after="0" w:line="259" w:lineRule="auto"/>
        <w:ind w:left="360" w:firstLine="0"/>
        <w:jc w:val="left"/>
      </w:pPr>
      <w:r>
        <w:t xml:space="preserve"> </w:t>
      </w:r>
    </w:p>
    <w:p w14:paraId="5C2B2C34" w14:textId="77777777" w:rsidR="00C07257" w:rsidRDefault="0094465E">
      <w:pPr>
        <w:ind w:left="-5" w:right="114"/>
      </w:pPr>
      <w:r>
        <w:rPr>
          <w:rFonts w:cs="Arial"/>
          <w:b/>
        </w:rPr>
        <w:t>Classifications of Law</w:t>
      </w:r>
      <w:r>
        <w:t xml:space="preserve"> – Public law – Private law – Adjectival law – Criminal &amp; civil law – Common law &amp; civil law – Common law &amp; equity </w:t>
      </w:r>
    </w:p>
    <w:p w14:paraId="7F4BAD64" w14:textId="77777777" w:rsidR="00C07257" w:rsidRDefault="0094465E">
      <w:pPr>
        <w:spacing w:after="0" w:line="259" w:lineRule="auto"/>
        <w:ind w:left="720" w:firstLine="0"/>
        <w:jc w:val="left"/>
      </w:pPr>
      <w:r>
        <w:t xml:space="preserve"> </w:t>
      </w:r>
    </w:p>
    <w:p w14:paraId="1547C1C1" w14:textId="6D839FC6" w:rsidR="00C07257" w:rsidRDefault="0094465E">
      <w:pPr>
        <w:ind w:left="-5" w:right="114"/>
      </w:pPr>
      <w:r>
        <w:rPr>
          <w:rFonts w:cs="Arial"/>
          <w:b/>
        </w:rPr>
        <w:t>Legal History</w:t>
      </w:r>
      <w:r>
        <w:t xml:space="preserve"> – Foundation of the Common law in England – Brehon law – Establishment of the Common law in Ireland – History of equity – Nineteenth</w:t>
      </w:r>
      <w:r w:rsidR="0041263B">
        <w:t xml:space="preserve"> </w:t>
      </w:r>
      <w:r>
        <w:t xml:space="preserve">century reforms – War of Independence and the Dáil courts – the Irish legal system since independence </w:t>
      </w:r>
    </w:p>
    <w:p w14:paraId="7CE0B64B" w14:textId="77777777" w:rsidR="00C07257" w:rsidRDefault="0094465E">
      <w:pPr>
        <w:spacing w:after="0" w:line="259" w:lineRule="auto"/>
        <w:ind w:left="0" w:firstLine="0"/>
        <w:jc w:val="left"/>
      </w:pPr>
      <w:r>
        <w:t xml:space="preserve"> </w:t>
      </w:r>
    </w:p>
    <w:p w14:paraId="53BE4964" w14:textId="77777777" w:rsidR="00C07257" w:rsidRDefault="0094465E">
      <w:pPr>
        <w:ind w:left="-5" w:right="114"/>
      </w:pPr>
      <w:r>
        <w:rPr>
          <w:rFonts w:cs="Arial"/>
          <w:b/>
        </w:rPr>
        <w:t>Introduction to the Legal Method</w:t>
      </w:r>
      <w:r>
        <w:t xml:space="preserve"> – “The Case of the Speluncean Explorers</w:t>
      </w:r>
      <w:r>
        <w:rPr>
          <w:rFonts w:cs="Arial"/>
          <w:i/>
        </w:rPr>
        <w:t>”</w:t>
      </w:r>
      <w:r>
        <w:t xml:space="preserve"> </w:t>
      </w:r>
    </w:p>
    <w:p w14:paraId="46125BC4" w14:textId="77777777" w:rsidR="00C07257" w:rsidRDefault="0094465E">
      <w:pPr>
        <w:ind w:left="-5" w:right="114"/>
      </w:pPr>
      <w:r>
        <w:t xml:space="preserve">62 Harvard Law Review 616 (1949) </w:t>
      </w:r>
    </w:p>
    <w:p w14:paraId="49575142" w14:textId="77777777" w:rsidR="00C07257" w:rsidRDefault="0094465E">
      <w:pPr>
        <w:spacing w:after="0" w:line="259" w:lineRule="auto"/>
        <w:ind w:left="0" w:firstLine="0"/>
        <w:jc w:val="left"/>
      </w:pPr>
      <w:r>
        <w:t xml:space="preserve"> </w:t>
      </w:r>
    </w:p>
    <w:p w14:paraId="35D52FC3" w14:textId="77777777" w:rsidR="00C07257" w:rsidRDefault="0094465E">
      <w:pPr>
        <w:ind w:left="-5" w:right="114"/>
      </w:pPr>
      <w:r>
        <w:rPr>
          <w:rFonts w:cs="Arial"/>
          <w:b/>
        </w:rPr>
        <w:t>Legal Writing</w:t>
      </w:r>
      <w:r>
        <w:t xml:space="preserve"> – An introduction to the fundamentals – Core principles of legal writing </w:t>
      </w:r>
    </w:p>
    <w:p w14:paraId="4E961D10" w14:textId="77777777" w:rsidR="00C07257" w:rsidRDefault="0094465E">
      <w:pPr>
        <w:spacing w:after="0" w:line="259" w:lineRule="auto"/>
        <w:ind w:left="0" w:firstLine="0"/>
        <w:jc w:val="left"/>
      </w:pPr>
      <w:r>
        <w:t xml:space="preserve">  </w:t>
      </w:r>
    </w:p>
    <w:p w14:paraId="6FE5C4C1" w14:textId="77777777" w:rsidR="00C07257" w:rsidRDefault="0094465E">
      <w:pPr>
        <w:spacing w:after="46" w:line="259" w:lineRule="auto"/>
        <w:ind w:left="0" w:firstLine="0"/>
        <w:jc w:val="left"/>
      </w:pPr>
      <w:r>
        <w:t xml:space="preserve"> </w:t>
      </w:r>
    </w:p>
    <w:p w14:paraId="5CBA0710" w14:textId="77777777" w:rsidR="00C07257" w:rsidRDefault="0094465E">
      <w:pPr>
        <w:pBdr>
          <w:top w:val="single" w:sz="4" w:space="0" w:color="000000"/>
          <w:left w:val="single" w:sz="4" w:space="0" w:color="000000"/>
          <w:bottom w:val="single" w:sz="4" w:space="0" w:color="000000"/>
          <w:right w:val="single" w:sz="4" w:space="0" w:color="000000"/>
        </w:pBdr>
        <w:spacing w:after="2" w:line="259" w:lineRule="auto"/>
        <w:ind w:right="131"/>
        <w:jc w:val="center"/>
      </w:pPr>
      <w:r>
        <w:rPr>
          <w:rFonts w:cs="Arial"/>
          <w:b/>
          <w:sz w:val="28"/>
        </w:rPr>
        <w:t xml:space="preserve">Week 2 – Sources of Law; Statutory Interpretation; Legal Research and Citation </w:t>
      </w:r>
    </w:p>
    <w:p w14:paraId="67ADE0D4" w14:textId="77777777" w:rsidR="00C07257" w:rsidRDefault="0094465E">
      <w:pPr>
        <w:spacing w:after="0" w:line="259" w:lineRule="auto"/>
        <w:ind w:left="0" w:right="51" w:firstLine="0"/>
        <w:jc w:val="center"/>
      </w:pPr>
      <w:r>
        <w:rPr>
          <w:rFonts w:cs="Arial"/>
          <w:b/>
          <w:sz w:val="28"/>
        </w:rPr>
        <w:t xml:space="preserve"> </w:t>
      </w:r>
    </w:p>
    <w:p w14:paraId="14971410" w14:textId="77777777" w:rsidR="00C07257" w:rsidRDefault="0094465E">
      <w:pPr>
        <w:pStyle w:val="Heading1"/>
      </w:pPr>
      <w:r>
        <w:t xml:space="preserve">Topics </w:t>
      </w:r>
    </w:p>
    <w:p w14:paraId="02E964A3" w14:textId="77777777" w:rsidR="00C07257" w:rsidRDefault="0094465E">
      <w:pPr>
        <w:spacing w:after="0" w:line="259" w:lineRule="auto"/>
        <w:ind w:left="720" w:firstLine="0"/>
        <w:jc w:val="left"/>
      </w:pPr>
      <w:r>
        <w:t xml:space="preserve"> </w:t>
      </w:r>
    </w:p>
    <w:p w14:paraId="4EC664E1" w14:textId="77777777" w:rsidR="00C07257" w:rsidRDefault="0094465E">
      <w:pPr>
        <w:ind w:left="-5" w:right="114"/>
      </w:pPr>
      <w:r>
        <w:rPr>
          <w:rFonts w:cs="Arial"/>
          <w:b/>
        </w:rPr>
        <w:t>Sources of Law</w:t>
      </w:r>
      <w:r>
        <w:t xml:space="preserve"> – The Constitution – Enumerated and Unenumerated rights – Consequences of unconstitutionality – Legislation – Common law – European law – Textbooks and other legal writings </w:t>
      </w:r>
    </w:p>
    <w:p w14:paraId="2C18F744" w14:textId="77777777" w:rsidR="00C07257" w:rsidRDefault="0094465E">
      <w:pPr>
        <w:spacing w:after="0" w:line="259" w:lineRule="auto"/>
        <w:ind w:left="720" w:firstLine="0"/>
        <w:jc w:val="left"/>
      </w:pPr>
      <w:r>
        <w:t xml:space="preserve"> </w:t>
      </w:r>
    </w:p>
    <w:p w14:paraId="54D2A8EB" w14:textId="77777777" w:rsidR="00C07257" w:rsidRDefault="0094465E">
      <w:pPr>
        <w:ind w:left="-5" w:right="114"/>
      </w:pPr>
      <w:r>
        <w:rPr>
          <w:rFonts w:cs="Arial"/>
          <w:b/>
        </w:rPr>
        <w:t>Legal Research and Citation</w:t>
      </w:r>
      <w:r>
        <w:t xml:space="preserve"> - Sources and Techniques - Computerised Legal Research Database Training – Review of OSCOLA Ireland  </w:t>
      </w:r>
    </w:p>
    <w:p w14:paraId="30A72892" w14:textId="77777777" w:rsidR="00C07257" w:rsidRDefault="0094465E">
      <w:pPr>
        <w:spacing w:after="0" w:line="259" w:lineRule="auto"/>
        <w:ind w:left="720" w:firstLine="0"/>
        <w:jc w:val="left"/>
      </w:pPr>
      <w:r>
        <w:t xml:space="preserve"> </w:t>
      </w:r>
    </w:p>
    <w:p w14:paraId="17CC43C8" w14:textId="77777777" w:rsidR="00C07257" w:rsidRDefault="0094465E">
      <w:pPr>
        <w:ind w:left="-5" w:right="114"/>
      </w:pPr>
      <w:r>
        <w:rPr>
          <w:rFonts w:cs="Arial"/>
          <w:b/>
        </w:rPr>
        <w:t>The Legislative Process</w:t>
      </w:r>
      <w:r>
        <w:t xml:space="preserve">  - Article 15 – Pre-parliamentary origins of legislation – Legislative power of the Dáil and Seanad – Five-stage process – Role of the president – Referral of bills to the Supreme Court – Private Member bills – Private bills – Delegated legislation </w:t>
      </w:r>
    </w:p>
    <w:p w14:paraId="125101DC" w14:textId="77777777" w:rsidR="00C07257" w:rsidRDefault="0094465E">
      <w:pPr>
        <w:spacing w:after="0" w:line="259" w:lineRule="auto"/>
        <w:ind w:left="0" w:firstLine="0"/>
        <w:jc w:val="left"/>
      </w:pPr>
      <w:r>
        <w:t xml:space="preserve"> </w:t>
      </w:r>
    </w:p>
    <w:p w14:paraId="48C12339" w14:textId="77777777" w:rsidR="00C07257" w:rsidRDefault="0094465E">
      <w:pPr>
        <w:ind w:left="-5" w:right="114"/>
      </w:pPr>
      <w:r>
        <w:rPr>
          <w:rFonts w:cs="Arial"/>
          <w:b/>
        </w:rPr>
        <w:t>Statutory Interpretation</w:t>
      </w:r>
      <w:r>
        <w:t xml:space="preserve"> – How to read and analyse statutes  </w:t>
      </w:r>
    </w:p>
    <w:p w14:paraId="3471146E" w14:textId="77777777" w:rsidR="00C07257" w:rsidRDefault="0094465E">
      <w:pPr>
        <w:spacing w:after="0" w:line="259" w:lineRule="auto"/>
        <w:ind w:left="720" w:firstLine="0"/>
        <w:jc w:val="left"/>
      </w:pPr>
      <w:r>
        <w:t xml:space="preserve"> </w:t>
      </w:r>
    </w:p>
    <w:p w14:paraId="5496F3AE" w14:textId="25E4D7DE" w:rsidR="00C07257" w:rsidRDefault="0094465E" w:rsidP="0041263B">
      <w:pPr>
        <w:spacing w:after="0" w:line="259" w:lineRule="auto"/>
        <w:ind w:left="720" w:firstLine="0"/>
        <w:jc w:val="left"/>
      </w:pPr>
      <w:r>
        <w:t xml:space="preserve">  </w:t>
      </w:r>
    </w:p>
    <w:p w14:paraId="3E0F4549" w14:textId="77777777" w:rsidR="00C07257" w:rsidRDefault="0094465E">
      <w:pPr>
        <w:spacing w:after="0" w:line="259" w:lineRule="auto"/>
        <w:ind w:left="720" w:firstLine="0"/>
        <w:jc w:val="left"/>
      </w:pPr>
      <w:r>
        <w:t xml:space="preserve"> </w:t>
      </w:r>
    </w:p>
    <w:p w14:paraId="6AE1CAA6" w14:textId="77777777" w:rsidR="00C07257" w:rsidRDefault="0094465E">
      <w:pPr>
        <w:pBdr>
          <w:top w:val="single" w:sz="4" w:space="0" w:color="000000"/>
          <w:left w:val="single" w:sz="4" w:space="0" w:color="000000"/>
          <w:bottom w:val="single" w:sz="4" w:space="0" w:color="000000"/>
          <w:right w:val="single" w:sz="4" w:space="0" w:color="000000"/>
        </w:pBdr>
        <w:spacing w:after="2" w:line="259" w:lineRule="auto"/>
        <w:ind w:right="132"/>
        <w:jc w:val="center"/>
      </w:pPr>
      <w:r>
        <w:rPr>
          <w:rFonts w:cs="Arial"/>
          <w:b/>
          <w:sz w:val="28"/>
        </w:rPr>
        <w:lastRenderedPageBreak/>
        <w:t xml:space="preserve">Week 3 – The Courts, the Doctrine of Precedent and Case Analysis </w:t>
      </w:r>
    </w:p>
    <w:p w14:paraId="732826EE" w14:textId="77777777" w:rsidR="00C07257" w:rsidRDefault="0094465E">
      <w:pPr>
        <w:spacing w:after="0" w:line="259" w:lineRule="auto"/>
        <w:ind w:left="0" w:right="51" w:firstLine="0"/>
        <w:jc w:val="center"/>
      </w:pPr>
      <w:r>
        <w:rPr>
          <w:rFonts w:cs="Arial"/>
          <w:b/>
          <w:sz w:val="28"/>
        </w:rPr>
        <w:t xml:space="preserve"> </w:t>
      </w:r>
    </w:p>
    <w:p w14:paraId="666A7690" w14:textId="77777777" w:rsidR="00C07257" w:rsidRDefault="0094465E">
      <w:pPr>
        <w:pStyle w:val="Heading1"/>
      </w:pPr>
      <w:r>
        <w:t xml:space="preserve">Topics </w:t>
      </w:r>
    </w:p>
    <w:p w14:paraId="1D536721" w14:textId="77777777" w:rsidR="00C07257" w:rsidRDefault="0094465E">
      <w:pPr>
        <w:spacing w:after="0" w:line="259" w:lineRule="auto"/>
        <w:ind w:left="720" w:firstLine="0"/>
        <w:jc w:val="left"/>
      </w:pPr>
      <w:r>
        <w:t xml:space="preserve"> </w:t>
      </w:r>
    </w:p>
    <w:p w14:paraId="23A81749" w14:textId="77777777" w:rsidR="00C07257" w:rsidRDefault="0094465E">
      <w:pPr>
        <w:ind w:left="-5" w:right="114"/>
      </w:pPr>
      <w:r>
        <w:rPr>
          <w:rFonts w:cs="Arial"/>
          <w:b/>
        </w:rPr>
        <w:t>Doctrine of Precedent</w:t>
      </w:r>
      <w:r>
        <w:t xml:space="preserve"> – </w:t>
      </w:r>
      <w:r>
        <w:rPr>
          <w:rFonts w:cs="Arial"/>
          <w:i/>
        </w:rPr>
        <w:t>Stare decisis</w:t>
      </w:r>
      <w:r>
        <w:t xml:space="preserve"> – Binding and persuasive authority – </w:t>
      </w:r>
    </w:p>
    <w:p w14:paraId="02920B23" w14:textId="77777777" w:rsidR="00C07257" w:rsidRDefault="0094465E">
      <w:pPr>
        <w:ind w:left="-5" w:right="114"/>
      </w:pPr>
      <w:r>
        <w:t xml:space="preserve">Factors affecting the weight of a precedent – </w:t>
      </w:r>
      <w:r>
        <w:rPr>
          <w:rFonts w:cs="Arial"/>
          <w:i/>
        </w:rPr>
        <w:t>Ratio decidendi</w:t>
      </w:r>
      <w:r>
        <w:t xml:space="preserve"> and </w:t>
      </w:r>
      <w:r>
        <w:rPr>
          <w:rFonts w:cs="Arial"/>
          <w:i/>
        </w:rPr>
        <w:t>Obiter dictum</w:t>
      </w:r>
      <w:r>
        <w:t xml:space="preserve"> – Restrictive and non-restrictive distinguishing </w:t>
      </w:r>
    </w:p>
    <w:p w14:paraId="37C1F95C" w14:textId="77777777" w:rsidR="00C07257" w:rsidRDefault="0094465E">
      <w:pPr>
        <w:spacing w:after="0" w:line="259" w:lineRule="auto"/>
        <w:ind w:left="0" w:firstLine="0"/>
        <w:jc w:val="left"/>
      </w:pPr>
      <w:r>
        <w:t xml:space="preserve"> </w:t>
      </w:r>
    </w:p>
    <w:p w14:paraId="27880861" w14:textId="77777777" w:rsidR="00C07257" w:rsidRDefault="0094465E">
      <w:pPr>
        <w:ind w:left="-5" w:right="114"/>
      </w:pPr>
      <w:r>
        <w:rPr>
          <w:rFonts w:cs="Arial"/>
          <w:b/>
        </w:rPr>
        <w:t>The Courts</w:t>
      </w:r>
      <w:r>
        <w:t xml:space="preserve"> – Hierarchy of the Irish courts – Constitutional basis for jurisdiction of the courts – Special position of the superior courts – Constitutional safeguards of judicial independence – Original jurisdiction – Appellate jurisdiction – Judicial review – Hierarchy of the English courts </w:t>
      </w:r>
    </w:p>
    <w:p w14:paraId="28B6466F" w14:textId="77777777" w:rsidR="00C07257" w:rsidRDefault="0094465E">
      <w:pPr>
        <w:spacing w:after="0" w:line="259" w:lineRule="auto"/>
        <w:ind w:left="0" w:firstLine="0"/>
        <w:jc w:val="left"/>
      </w:pPr>
      <w:r>
        <w:t xml:space="preserve"> </w:t>
      </w:r>
    </w:p>
    <w:p w14:paraId="73B8D7F4" w14:textId="77777777" w:rsidR="00C07257" w:rsidRDefault="0094465E">
      <w:pPr>
        <w:ind w:left="-5" w:right="114"/>
      </w:pPr>
      <w:r>
        <w:rPr>
          <w:rFonts w:cs="Arial"/>
          <w:b/>
        </w:rPr>
        <w:t>Reading and Briefing a Case</w:t>
      </w:r>
      <w:r>
        <w:t xml:space="preserve"> – Critical reading and analysis </w:t>
      </w:r>
      <w:r>
        <w:rPr>
          <w:rFonts w:cs="Arial"/>
          <w:b/>
        </w:rPr>
        <w:t xml:space="preserve"> </w:t>
      </w:r>
    </w:p>
    <w:p w14:paraId="15419E5C" w14:textId="77777777" w:rsidR="00C07257" w:rsidRDefault="0094465E">
      <w:pPr>
        <w:spacing w:after="0" w:line="259" w:lineRule="auto"/>
        <w:ind w:left="0" w:firstLine="0"/>
        <w:jc w:val="left"/>
      </w:pPr>
      <w:r>
        <w:t xml:space="preserve"> </w:t>
      </w:r>
    </w:p>
    <w:p w14:paraId="1164E67F" w14:textId="77777777" w:rsidR="00C07257" w:rsidRDefault="0094465E">
      <w:pPr>
        <w:spacing w:after="46" w:line="259" w:lineRule="auto"/>
        <w:ind w:left="0" w:firstLine="0"/>
        <w:jc w:val="left"/>
      </w:pPr>
      <w:r>
        <w:t xml:space="preserve"> </w:t>
      </w:r>
    </w:p>
    <w:p w14:paraId="66EB5D04" w14:textId="77777777" w:rsidR="00C07257" w:rsidRDefault="0094465E">
      <w:pPr>
        <w:pBdr>
          <w:top w:val="single" w:sz="4" w:space="0" w:color="000000"/>
          <w:left w:val="single" w:sz="4" w:space="0" w:color="000000"/>
          <w:bottom w:val="single" w:sz="4" w:space="0" w:color="000000"/>
          <w:right w:val="single" w:sz="4" w:space="0" w:color="000000"/>
        </w:pBdr>
        <w:spacing w:after="2" w:line="259" w:lineRule="auto"/>
        <w:ind w:left="99" w:right="66" w:firstLine="0"/>
        <w:jc w:val="left"/>
      </w:pPr>
      <w:r>
        <w:rPr>
          <w:rFonts w:cs="Arial"/>
          <w:b/>
          <w:sz w:val="28"/>
        </w:rPr>
        <w:t xml:space="preserve">Week 4 – The Legal Profession; International and European Law; Bringing Skills Together </w:t>
      </w:r>
    </w:p>
    <w:p w14:paraId="6E5C5C36" w14:textId="77777777" w:rsidR="00C07257" w:rsidRDefault="0094465E">
      <w:pPr>
        <w:spacing w:after="0" w:line="259" w:lineRule="auto"/>
        <w:ind w:left="0" w:right="51" w:firstLine="0"/>
        <w:jc w:val="center"/>
      </w:pPr>
      <w:r>
        <w:rPr>
          <w:rFonts w:cs="Arial"/>
          <w:b/>
          <w:sz w:val="28"/>
        </w:rPr>
        <w:t xml:space="preserve"> </w:t>
      </w:r>
    </w:p>
    <w:p w14:paraId="684A63D3" w14:textId="77777777" w:rsidR="00C07257" w:rsidRDefault="0094465E">
      <w:pPr>
        <w:pStyle w:val="Heading1"/>
      </w:pPr>
      <w:r>
        <w:t xml:space="preserve">Topics </w:t>
      </w:r>
    </w:p>
    <w:p w14:paraId="08E47830" w14:textId="77777777" w:rsidR="00C07257" w:rsidRDefault="0094465E">
      <w:pPr>
        <w:spacing w:after="0" w:line="259" w:lineRule="auto"/>
        <w:ind w:left="0" w:firstLine="0"/>
        <w:jc w:val="left"/>
      </w:pPr>
      <w:r>
        <w:rPr>
          <w:rFonts w:cs="Arial"/>
          <w:b/>
        </w:rPr>
        <w:t xml:space="preserve"> </w:t>
      </w:r>
    </w:p>
    <w:p w14:paraId="3FE37772" w14:textId="77777777" w:rsidR="00C07257" w:rsidRDefault="0094465E">
      <w:pPr>
        <w:ind w:left="-5" w:right="114"/>
      </w:pPr>
      <w:r>
        <w:rPr>
          <w:rFonts w:cs="Arial"/>
          <w:b/>
        </w:rPr>
        <w:t xml:space="preserve">The Legal Profession </w:t>
      </w:r>
      <w:r>
        <w:t xml:space="preserve">– Functions of solicitors and barristers – Legal education – Discipline – DPP – Attorney General – Judicial appointments. </w:t>
      </w:r>
    </w:p>
    <w:p w14:paraId="146A1820" w14:textId="77777777" w:rsidR="00C07257" w:rsidRDefault="0094465E">
      <w:pPr>
        <w:spacing w:after="0" w:line="259" w:lineRule="auto"/>
        <w:ind w:left="0" w:firstLine="0"/>
        <w:jc w:val="left"/>
      </w:pPr>
      <w:r>
        <w:t xml:space="preserve"> </w:t>
      </w:r>
    </w:p>
    <w:p w14:paraId="452C3095" w14:textId="77777777" w:rsidR="00C07257" w:rsidRDefault="0094465E">
      <w:pPr>
        <w:ind w:left="-5" w:right="114"/>
      </w:pPr>
      <w:r>
        <w:rPr>
          <w:rFonts w:cs="Arial"/>
          <w:b/>
        </w:rPr>
        <w:t>Remedies</w:t>
      </w:r>
      <w:r>
        <w:t xml:space="preserve"> – Damages – Injunctions – Specific Performance – Contempt of Court </w:t>
      </w:r>
    </w:p>
    <w:p w14:paraId="4B509D5E" w14:textId="77777777" w:rsidR="00C07257" w:rsidRDefault="0094465E">
      <w:pPr>
        <w:spacing w:after="0" w:line="259" w:lineRule="auto"/>
        <w:ind w:left="0" w:firstLine="0"/>
        <w:jc w:val="left"/>
      </w:pPr>
      <w:r>
        <w:t xml:space="preserve"> </w:t>
      </w:r>
    </w:p>
    <w:p w14:paraId="6EB205CC" w14:textId="57518AB9" w:rsidR="00C07257" w:rsidRDefault="0094465E">
      <w:pPr>
        <w:ind w:left="-5" w:right="114"/>
      </w:pPr>
      <w:r>
        <w:rPr>
          <w:rFonts w:cs="Arial"/>
          <w:b/>
        </w:rPr>
        <w:t xml:space="preserve">International and European Law </w:t>
      </w:r>
      <w:r>
        <w:t xml:space="preserve">– Monism and Dualism – Status of international agreements in the domestic legal system – Article 29 – International institutions – European Convention on Human Rights – The European Union </w:t>
      </w:r>
    </w:p>
    <w:p w14:paraId="3E955D78" w14:textId="77777777" w:rsidR="00C07257" w:rsidRDefault="0094465E">
      <w:pPr>
        <w:spacing w:after="0" w:line="259" w:lineRule="auto"/>
        <w:ind w:left="0" w:firstLine="0"/>
        <w:jc w:val="left"/>
      </w:pPr>
      <w:r>
        <w:t xml:space="preserve"> </w:t>
      </w:r>
    </w:p>
    <w:p w14:paraId="032F8FE7" w14:textId="77777777" w:rsidR="00C07257" w:rsidRDefault="0094465E">
      <w:pPr>
        <w:ind w:left="-5" w:right="114"/>
      </w:pPr>
      <w:r>
        <w:rPr>
          <w:rFonts w:cs="Arial"/>
          <w:b/>
        </w:rPr>
        <w:t>Bringing Skills Together</w:t>
      </w:r>
      <w:r>
        <w:t xml:space="preserve"> – Analytical, research and writing redux and recap – Introduction to Essay Writing  </w:t>
      </w:r>
    </w:p>
    <w:p w14:paraId="52B03316" w14:textId="77777777" w:rsidR="00C07257" w:rsidRDefault="0094465E">
      <w:pPr>
        <w:spacing w:after="0" w:line="259" w:lineRule="auto"/>
        <w:ind w:left="0" w:firstLine="0"/>
        <w:jc w:val="left"/>
      </w:pPr>
      <w:r>
        <w:rPr>
          <w:rFonts w:ascii="Times New Roman" w:eastAsia="Times New Roman" w:hAnsi="Times New Roman"/>
        </w:rPr>
        <w:t xml:space="preserve"> </w:t>
      </w:r>
    </w:p>
    <w:p w14:paraId="4CA4A63D" w14:textId="77777777" w:rsidR="00C07257" w:rsidRDefault="0094465E">
      <w:pPr>
        <w:spacing w:after="0" w:line="259" w:lineRule="auto"/>
        <w:ind w:left="0" w:firstLine="0"/>
        <w:jc w:val="left"/>
      </w:pPr>
      <w:r>
        <w:rPr>
          <w:rFonts w:ascii="Times New Roman" w:eastAsia="Times New Roman" w:hAnsi="Times New Roman"/>
        </w:rPr>
        <w:t xml:space="preserve"> </w:t>
      </w:r>
    </w:p>
    <w:p w14:paraId="638A5B6F" w14:textId="77777777" w:rsidR="00C07257" w:rsidRDefault="0094465E">
      <w:pPr>
        <w:spacing w:after="0" w:line="259" w:lineRule="auto"/>
        <w:ind w:left="0" w:firstLine="0"/>
        <w:jc w:val="left"/>
        <w:rPr>
          <w:rFonts w:ascii="Times New Roman" w:eastAsia="Times New Roman" w:hAnsi="Times New Roman"/>
        </w:rPr>
      </w:pPr>
      <w:r>
        <w:rPr>
          <w:rFonts w:ascii="Times New Roman" w:eastAsia="Times New Roman" w:hAnsi="Times New Roman"/>
        </w:rPr>
        <w:t xml:space="preserve"> </w:t>
      </w:r>
    </w:p>
    <w:p w14:paraId="182F061E" w14:textId="77777777" w:rsidR="0041263B" w:rsidRDefault="0041263B">
      <w:pPr>
        <w:spacing w:after="0" w:line="259" w:lineRule="auto"/>
        <w:ind w:left="0" w:firstLine="0"/>
        <w:jc w:val="left"/>
        <w:rPr>
          <w:rFonts w:ascii="Times New Roman" w:eastAsia="Times New Roman" w:hAnsi="Times New Roman"/>
        </w:rPr>
      </w:pPr>
    </w:p>
    <w:p w14:paraId="65960809" w14:textId="77777777" w:rsidR="0041263B" w:rsidRDefault="0041263B">
      <w:pPr>
        <w:spacing w:after="0" w:line="259" w:lineRule="auto"/>
        <w:ind w:left="0" w:firstLine="0"/>
        <w:jc w:val="left"/>
        <w:rPr>
          <w:rFonts w:ascii="Times New Roman" w:eastAsia="Times New Roman" w:hAnsi="Times New Roman"/>
        </w:rPr>
      </w:pPr>
    </w:p>
    <w:p w14:paraId="0D14C998" w14:textId="77777777" w:rsidR="0041263B" w:rsidRDefault="0041263B">
      <w:pPr>
        <w:spacing w:after="0" w:line="259" w:lineRule="auto"/>
        <w:ind w:left="0" w:firstLine="0"/>
        <w:jc w:val="left"/>
        <w:rPr>
          <w:rFonts w:ascii="Times New Roman" w:eastAsia="Times New Roman" w:hAnsi="Times New Roman"/>
        </w:rPr>
      </w:pPr>
    </w:p>
    <w:p w14:paraId="550D8393" w14:textId="77777777" w:rsidR="00A20A70" w:rsidRDefault="00A20A70">
      <w:pPr>
        <w:spacing w:after="0" w:line="259" w:lineRule="auto"/>
        <w:ind w:left="0" w:firstLine="0"/>
        <w:jc w:val="left"/>
        <w:rPr>
          <w:rFonts w:ascii="Times New Roman" w:eastAsia="Times New Roman" w:hAnsi="Times New Roman"/>
        </w:rPr>
      </w:pPr>
    </w:p>
    <w:p w14:paraId="4E4293D4" w14:textId="77777777" w:rsidR="0041263B" w:rsidRDefault="0041263B">
      <w:pPr>
        <w:spacing w:after="0" w:line="259" w:lineRule="auto"/>
        <w:ind w:left="0" w:firstLine="0"/>
        <w:jc w:val="left"/>
      </w:pPr>
    </w:p>
    <w:p w14:paraId="4DE29308" w14:textId="77777777" w:rsidR="00C07257" w:rsidRDefault="0094465E">
      <w:pPr>
        <w:spacing w:after="85" w:line="259" w:lineRule="auto"/>
        <w:ind w:left="0" w:firstLine="0"/>
        <w:jc w:val="left"/>
      </w:pPr>
      <w:r>
        <w:rPr>
          <w:rFonts w:ascii="Times New Roman" w:eastAsia="Times New Roman" w:hAnsi="Times New Roman"/>
        </w:rPr>
        <w:t xml:space="preserve"> </w:t>
      </w:r>
    </w:p>
    <w:p w14:paraId="082F6E5B" w14:textId="77777777" w:rsidR="00C07257" w:rsidRDefault="0094465E">
      <w:pPr>
        <w:pStyle w:val="Heading1"/>
        <w:pBdr>
          <w:top w:val="single" w:sz="4" w:space="0" w:color="000000"/>
          <w:left w:val="single" w:sz="4" w:space="0" w:color="000000"/>
          <w:bottom w:val="single" w:sz="4" w:space="0" w:color="000000"/>
          <w:right w:val="single" w:sz="4" w:space="0" w:color="000000"/>
        </w:pBdr>
        <w:ind w:left="0" w:right="134" w:firstLine="0"/>
      </w:pPr>
      <w:r>
        <w:rPr>
          <w:sz w:val="32"/>
        </w:rPr>
        <w:lastRenderedPageBreak/>
        <w:t>Assignments</w:t>
      </w:r>
      <w:r>
        <w:t xml:space="preserve"> </w:t>
      </w:r>
    </w:p>
    <w:p w14:paraId="1EA9415F" w14:textId="77777777" w:rsidR="00C07257" w:rsidRDefault="0094465E">
      <w:pPr>
        <w:spacing w:after="0" w:line="259" w:lineRule="auto"/>
        <w:ind w:left="0" w:firstLine="0"/>
        <w:jc w:val="left"/>
      </w:pPr>
      <w:r>
        <w:t xml:space="preserve"> </w:t>
      </w:r>
    </w:p>
    <w:p w14:paraId="61A8DCF3" w14:textId="77777777" w:rsidR="0041263B" w:rsidRDefault="0041263B">
      <w:pPr>
        <w:spacing w:after="0" w:line="259" w:lineRule="auto"/>
        <w:ind w:left="0" w:firstLine="0"/>
        <w:jc w:val="left"/>
      </w:pPr>
    </w:p>
    <w:p w14:paraId="5E3DA8B6" w14:textId="51C986D6" w:rsidR="00C07257" w:rsidRDefault="0094465E" w:rsidP="00F859E9">
      <w:pPr>
        <w:spacing w:after="0" w:line="259" w:lineRule="auto"/>
        <w:ind w:left="-5"/>
      </w:pPr>
      <w:r>
        <w:rPr>
          <w:rFonts w:cs="Arial"/>
          <w:b/>
        </w:rPr>
        <w:t>Week 1</w:t>
      </w:r>
    </w:p>
    <w:p w14:paraId="7E7E27BA" w14:textId="77777777" w:rsidR="00C07257" w:rsidRDefault="0094465E">
      <w:pPr>
        <w:spacing w:after="0" w:line="259" w:lineRule="auto"/>
        <w:ind w:left="0" w:firstLine="0"/>
        <w:jc w:val="left"/>
      </w:pPr>
      <w:r>
        <w:t xml:space="preserve"> </w:t>
      </w:r>
    </w:p>
    <w:p w14:paraId="48C71410" w14:textId="56FE1E93" w:rsidR="00C07257" w:rsidRDefault="0094465E">
      <w:pPr>
        <w:ind w:left="-5" w:right="114"/>
      </w:pPr>
      <w:r>
        <w:t>No assignments</w:t>
      </w:r>
      <w:r w:rsidR="008441F0">
        <w:t>.</w:t>
      </w:r>
      <w:r>
        <w:t xml:space="preserve"> </w:t>
      </w:r>
    </w:p>
    <w:p w14:paraId="251E664E" w14:textId="475772B4" w:rsidR="00C07257" w:rsidRDefault="0094465E">
      <w:pPr>
        <w:spacing w:after="0" w:line="259" w:lineRule="auto"/>
        <w:ind w:left="0" w:firstLine="0"/>
        <w:jc w:val="left"/>
      </w:pPr>
      <w:r>
        <w:t xml:space="preserve"> </w:t>
      </w:r>
    </w:p>
    <w:p w14:paraId="1A479614" w14:textId="52C072CA" w:rsidR="00C07257" w:rsidRDefault="0094465E" w:rsidP="00F859E9">
      <w:pPr>
        <w:pStyle w:val="Heading2"/>
        <w:ind w:right="131"/>
        <w:jc w:val="both"/>
      </w:pPr>
      <w:r>
        <w:t>Week 2</w:t>
      </w:r>
    </w:p>
    <w:p w14:paraId="47554BA4" w14:textId="77777777" w:rsidR="00C07257" w:rsidRDefault="0094465E">
      <w:pPr>
        <w:spacing w:after="0" w:line="259" w:lineRule="auto"/>
        <w:ind w:left="0" w:firstLine="0"/>
        <w:jc w:val="left"/>
      </w:pPr>
      <w:r>
        <w:t xml:space="preserve"> </w:t>
      </w:r>
    </w:p>
    <w:p w14:paraId="2E43AC45" w14:textId="36CFBFDE" w:rsidR="00C07257" w:rsidRDefault="00F859E9">
      <w:pPr>
        <w:spacing w:after="15" w:line="239" w:lineRule="auto"/>
        <w:ind w:left="0" w:firstLine="0"/>
        <w:jc w:val="left"/>
      </w:pPr>
      <w:r>
        <w:rPr>
          <w:rFonts w:cs="Arial"/>
          <w:b/>
        </w:rPr>
        <w:t>EU Law assessment</w:t>
      </w:r>
      <w:r w:rsidR="008441F0">
        <w:t xml:space="preserve"> – w</w:t>
      </w:r>
      <w:r>
        <w:t xml:space="preserve">orth 5% of the overall mark in this module. Submission online </w:t>
      </w:r>
      <w:r w:rsidR="00A20A70">
        <w:t xml:space="preserve">via Canvas </w:t>
      </w:r>
      <w:r>
        <w:t>by 5pm on Friday 27</w:t>
      </w:r>
      <w:r>
        <w:rPr>
          <w:vertAlign w:val="superscript"/>
        </w:rPr>
        <w:t>th</w:t>
      </w:r>
      <w:r>
        <w:t xml:space="preserve"> September</w:t>
      </w:r>
      <w:r w:rsidR="008441F0">
        <w:t>.</w:t>
      </w:r>
      <w:r>
        <w:rPr>
          <w:rFonts w:cs="Arial"/>
          <w:b/>
        </w:rPr>
        <w:t xml:space="preserve"> </w:t>
      </w:r>
    </w:p>
    <w:p w14:paraId="753496CC" w14:textId="77777777" w:rsidR="00C07257" w:rsidRDefault="0094465E">
      <w:pPr>
        <w:spacing w:after="0" w:line="259" w:lineRule="auto"/>
        <w:ind w:left="0" w:firstLine="0"/>
        <w:jc w:val="left"/>
      </w:pPr>
      <w:r>
        <w:t xml:space="preserve"> </w:t>
      </w:r>
    </w:p>
    <w:p w14:paraId="7D8A181A" w14:textId="77777777" w:rsidR="00C07257" w:rsidRDefault="0094465E" w:rsidP="00F859E9">
      <w:pPr>
        <w:pStyle w:val="Heading2"/>
        <w:ind w:right="131"/>
        <w:jc w:val="both"/>
      </w:pPr>
      <w:r>
        <w:t xml:space="preserve">Week 3 </w:t>
      </w:r>
    </w:p>
    <w:p w14:paraId="35CB915C" w14:textId="77777777" w:rsidR="00C07257" w:rsidRDefault="0094465E">
      <w:pPr>
        <w:spacing w:after="0" w:line="259" w:lineRule="auto"/>
        <w:ind w:left="720" w:firstLine="0"/>
        <w:jc w:val="left"/>
      </w:pPr>
      <w:r>
        <w:t xml:space="preserve"> </w:t>
      </w:r>
    </w:p>
    <w:p w14:paraId="5D945042" w14:textId="61F0BD90" w:rsidR="00C07257" w:rsidRDefault="0094465E">
      <w:pPr>
        <w:ind w:left="-5" w:right="114"/>
      </w:pPr>
      <w:r>
        <w:rPr>
          <w:rFonts w:cs="Arial"/>
          <w:b/>
        </w:rPr>
        <w:t>Individual legal research and citation assignment</w:t>
      </w:r>
      <w:r w:rsidR="008441F0">
        <w:t xml:space="preserve"> – </w:t>
      </w:r>
      <w:r>
        <w:t>worth 15% of the overall mark in this module. Submissi</w:t>
      </w:r>
      <w:r w:rsidR="008441F0">
        <w:t>on via Canvas by 5pm on Friday</w:t>
      </w:r>
      <w:r>
        <w:t xml:space="preserve"> </w:t>
      </w:r>
      <w:r w:rsidR="008441F0">
        <w:t>4</w:t>
      </w:r>
      <w:r w:rsidR="008441F0" w:rsidRPr="008441F0">
        <w:rPr>
          <w:vertAlign w:val="superscript"/>
        </w:rPr>
        <w:t>th</w:t>
      </w:r>
      <w:r w:rsidR="008441F0">
        <w:t xml:space="preserve"> </w:t>
      </w:r>
      <w:r>
        <w:t xml:space="preserve">October.  </w:t>
      </w:r>
    </w:p>
    <w:p w14:paraId="1DD7EC04" w14:textId="77777777" w:rsidR="00C07257" w:rsidRDefault="0094465E">
      <w:pPr>
        <w:spacing w:after="0" w:line="259" w:lineRule="auto"/>
        <w:ind w:left="0" w:firstLine="0"/>
        <w:jc w:val="left"/>
      </w:pPr>
      <w:r>
        <w:t xml:space="preserve"> </w:t>
      </w:r>
    </w:p>
    <w:p w14:paraId="7057A66E" w14:textId="18D5DEB1" w:rsidR="00C07257" w:rsidRDefault="0094465E" w:rsidP="008441F0">
      <w:pPr>
        <w:pStyle w:val="Heading2"/>
        <w:ind w:right="131"/>
        <w:jc w:val="both"/>
      </w:pPr>
      <w:r>
        <w:t>Week 4</w:t>
      </w:r>
      <w:r>
        <w:rPr>
          <w:b w:val="0"/>
        </w:rPr>
        <w:t xml:space="preserve"> </w:t>
      </w:r>
    </w:p>
    <w:p w14:paraId="6D98B747" w14:textId="77777777" w:rsidR="00C07257" w:rsidRDefault="0094465E">
      <w:pPr>
        <w:spacing w:after="0" w:line="259" w:lineRule="auto"/>
        <w:ind w:left="0" w:firstLine="0"/>
        <w:jc w:val="left"/>
      </w:pPr>
      <w:r>
        <w:rPr>
          <w:rFonts w:cs="Arial"/>
          <w:b/>
        </w:rPr>
        <w:t xml:space="preserve"> </w:t>
      </w:r>
    </w:p>
    <w:p w14:paraId="0DADECF3" w14:textId="512A39E4" w:rsidR="008441F0" w:rsidRDefault="008441F0">
      <w:pPr>
        <w:ind w:left="-5" w:right="114"/>
      </w:pPr>
      <w:r>
        <w:rPr>
          <w:rFonts w:cs="Arial"/>
          <w:b/>
        </w:rPr>
        <w:t>Group case brief assignment</w:t>
      </w:r>
      <w:r>
        <w:t xml:space="preserve"> – </w:t>
      </w:r>
      <w:r w:rsidR="0094465E">
        <w:t xml:space="preserve">worth </w:t>
      </w:r>
      <w:r w:rsidR="00F859E9">
        <w:t>20</w:t>
      </w:r>
      <w:r w:rsidR="0094465E">
        <w:t>% of the overall mark in this module. Submiss</w:t>
      </w:r>
      <w:r>
        <w:t>ion via Canvas by 5pm on Friday 11</w:t>
      </w:r>
      <w:r w:rsidRPr="008441F0">
        <w:rPr>
          <w:vertAlign w:val="superscript"/>
        </w:rPr>
        <w:t>th</w:t>
      </w:r>
      <w:r>
        <w:t xml:space="preserve"> October.</w:t>
      </w:r>
    </w:p>
    <w:p w14:paraId="22A2A0E4" w14:textId="77777777" w:rsidR="008441F0" w:rsidRDefault="008441F0">
      <w:pPr>
        <w:ind w:left="-5" w:right="114"/>
      </w:pPr>
    </w:p>
    <w:p w14:paraId="16BC1F99" w14:textId="31305EB4" w:rsidR="00C07257" w:rsidRPr="00F859E9" w:rsidRDefault="008441F0">
      <w:pPr>
        <w:ind w:left="-5" w:right="114"/>
        <w:rPr>
          <w:color w:val="C00000"/>
        </w:rPr>
      </w:pPr>
      <w:r>
        <w:rPr>
          <w:b/>
        </w:rPr>
        <w:t>Week 5</w:t>
      </w:r>
      <w:r>
        <w:t xml:space="preserve"> </w:t>
      </w:r>
      <w:r w:rsidR="00F859E9" w:rsidRPr="00F859E9">
        <w:rPr>
          <w:color w:val="C00000"/>
        </w:rPr>
        <w:t xml:space="preserve"> </w:t>
      </w:r>
    </w:p>
    <w:p w14:paraId="4A14ED59" w14:textId="77777777" w:rsidR="00C07257" w:rsidRDefault="0094465E">
      <w:pPr>
        <w:spacing w:after="0" w:line="259" w:lineRule="auto"/>
        <w:ind w:left="0" w:firstLine="0"/>
        <w:jc w:val="left"/>
      </w:pPr>
      <w:r>
        <w:t xml:space="preserve"> </w:t>
      </w:r>
    </w:p>
    <w:p w14:paraId="1FE25516" w14:textId="331FC8C0" w:rsidR="00C07257" w:rsidRDefault="0094465E">
      <w:pPr>
        <w:ind w:left="-5" w:right="114"/>
      </w:pPr>
      <w:r>
        <w:rPr>
          <w:rFonts w:cs="Arial"/>
          <w:b/>
        </w:rPr>
        <w:t>Legal system group PowerPoint presentation</w:t>
      </w:r>
      <w:r>
        <w:t xml:space="preserve"> – worth 2</w:t>
      </w:r>
      <w:r w:rsidR="00F859E9">
        <w:t>5</w:t>
      </w:r>
      <w:r>
        <w:t xml:space="preserve">% of the overall mark in this module. Submission via Canvas by 5pm on Friday </w:t>
      </w:r>
      <w:r w:rsidR="00F859E9">
        <w:t>18</w:t>
      </w:r>
      <w:r>
        <w:rPr>
          <w:vertAlign w:val="superscript"/>
        </w:rPr>
        <w:t>th</w:t>
      </w:r>
      <w:r>
        <w:t xml:space="preserve"> October.</w:t>
      </w:r>
      <w:r>
        <w:rPr>
          <w:color w:val="1F497D"/>
        </w:rPr>
        <w:t xml:space="preserve"> </w:t>
      </w:r>
    </w:p>
    <w:p w14:paraId="48E6FA18" w14:textId="77777777" w:rsidR="00C07257" w:rsidRDefault="0094465E">
      <w:pPr>
        <w:spacing w:after="0" w:line="259" w:lineRule="auto"/>
        <w:ind w:left="0" w:firstLine="0"/>
        <w:jc w:val="left"/>
      </w:pPr>
      <w:r>
        <w:t xml:space="preserve"> </w:t>
      </w:r>
    </w:p>
    <w:p w14:paraId="60154109" w14:textId="77777777" w:rsidR="00C07257" w:rsidRDefault="0094465E" w:rsidP="008441F0">
      <w:pPr>
        <w:pStyle w:val="Heading2"/>
        <w:ind w:right="131"/>
        <w:jc w:val="both"/>
      </w:pPr>
      <w:r>
        <w:t xml:space="preserve">Week 6 </w:t>
      </w:r>
    </w:p>
    <w:p w14:paraId="2A6CD9B3" w14:textId="77777777" w:rsidR="00C07257" w:rsidRDefault="0094465E">
      <w:pPr>
        <w:spacing w:after="0" w:line="259" w:lineRule="auto"/>
        <w:ind w:left="0" w:firstLine="0"/>
        <w:jc w:val="left"/>
      </w:pPr>
      <w:r>
        <w:t xml:space="preserve"> </w:t>
      </w:r>
    </w:p>
    <w:p w14:paraId="2CE8834B" w14:textId="2837496B" w:rsidR="00C07257" w:rsidRDefault="0094465E">
      <w:pPr>
        <w:ind w:left="-5" w:right="114"/>
        <w:rPr>
          <w:color w:val="C00000"/>
        </w:rPr>
      </w:pPr>
      <w:r>
        <w:rPr>
          <w:rFonts w:cs="Arial"/>
          <w:b/>
        </w:rPr>
        <w:t>Research-based essay</w:t>
      </w:r>
      <w:r>
        <w:t xml:space="preserve"> </w:t>
      </w:r>
      <w:r w:rsidR="008441F0">
        <w:t xml:space="preserve">– </w:t>
      </w:r>
      <w:r>
        <w:t>worth 35% of the overall mark. The essay will focus on structural issues covered in this module. Submissio</w:t>
      </w:r>
      <w:r w:rsidR="008441F0">
        <w:t>n via Canvas by 5pm on Friday 25</w:t>
      </w:r>
      <w:r w:rsidR="008441F0" w:rsidRPr="008441F0">
        <w:rPr>
          <w:vertAlign w:val="superscript"/>
        </w:rPr>
        <w:t>th</w:t>
      </w:r>
      <w:r w:rsidR="008441F0">
        <w:t xml:space="preserve"> October.</w:t>
      </w:r>
      <w:r w:rsidR="00F859E9" w:rsidRPr="00F859E9">
        <w:rPr>
          <w:color w:val="C00000"/>
        </w:rPr>
        <w:t xml:space="preserve"> </w:t>
      </w:r>
    </w:p>
    <w:p w14:paraId="2A1F461A" w14:textId="4ED606C2" w:rsidR="00C07257" w:rsidRDefault="0094465E">
      <w:pPr>
        <w:spacing w:after="0" w:line="259" w:lineRule="auto"/>
        <w:ind w:left="0" w:firstLine="0"/>
        <w:jc w:val="left"/>
      </w:pPr>
      <w:r>
        <w:t xml:space="preserve"> </w:t>
      </w:r>
    </w:p>
    <w:p w14:paraId="146289B0" w14:textId="77777777" w:rsidR="00A20A70" w:rsidRDefault="00A20A70">
      <w:pPr>
        <w:spacing w:after="0" w:line="259" w:lineRule="auto"/>
        <w:ind w:left="0" w:firstLine="0"/>
        <w:jc w:val="left"/>
      </w:pPr>
    </w:p>
    <w:tbl>
      <w:tblPr>
        <w:tblStyle w:val="TableGrid"/>
        <w:tblW w:w="8526" w:type="dxa"/>
        <w:tblInd w:w="-113" w:type="dxa"/>
        <w:tblCellMar>
          <w:top w:w="30" w:type="dxa"/>
          <w:left w:w="113" w:type="dxa"/>
          <w:right w:w="115" w:type="dxa"/>
        </w:tblCellMar>
        <w:tblLook w:val="04A0" w:firstRow="1" w:lastRow="0" w:firstColumn="1" w:lastColumn="0" w:noHBand="0" w:noVBand="1"/>
      </w:tblPr>
      <w:tblGrid>
        <w:gridCol w:w="8526"/>
      </w:tblGrid>
      <w:tr w:rsidR="00C07257" w14:paraId="7AEC59DB" w14:textId="77777777">
        <w:trPr>
          <w:trHeight w:val="718"/>
        </w:trPr>
        <w:tc>
          <w:tcPr>
            <w:tcW w:w="8526" w:type="dxa"/>
            <w:tcBorders>
              <w:top w:val="single" w:sz="4" w:space="0" w:color="000000"/>
              <w:left w:val="single" w:sz="4" w:space="0" w:color="000000"/>
              <w:bottom w:val="single" w:sz="4" w:space="0" w:color="000000"/>
              <w:right w:val="single" w:sz="4" w:space="0" w:color="000000"/>
            </w:tcBorders>
          </w:tcPr>
          <w:p w14:paraId="4F16A2F3" w14:textId="77777777" w:rsidR="00C07257" w:rsidRDefault="0094465E">
            <w:pPr>
              <w:spacing w:after="12" w:line="259" w:lineRule="auto"/>
              <w:ind w:left="2" w:firstLine="0"/>
              <w:jc w:val="center"/>
            </w:pPr>
            <w:r>
              <w:rPr>
                <w:b/>
                <w:sz w:val="28"/>
              </w:rPr>
              <w:t xml:space="preserve">Assessment – 100% Continuous Assessment </w:t>
            </w:r>
          </w:p>
          <w:p w14:paraId="32762EC0" w14:textId="77777777" w:rsidR="00C07257" w:rsidRDefault="0094465E">
            <w:pPr>
              <w:spacing w:after="0" w:line="259" w:lineRule="auto"/>
              <w:ind w:left="91" w:firstLine="0"/>
              <w:jc w:val="center"/>
            </w:pPr>
            <w:r>
              <w:rPr>
                <w:sz w:val="32"/>
              </w:rPr>
              <w:t xml:space="preserve"> </w:t>
            </w:r>
          </w:p>
        </w:tc>
      </w:tr>
      <w:tr w:rsidR="00C07257" w14:paraId="0D6BBF25" w14:textId="77777777">
        <w:trPr>
          <w:trHeight w:val="2811"/>
        </w:trPr>
        <w:tc>
          <w:tcPr>
            <w:tcW w:w="8526" w:type="dxa"/>
            <w:tcBorders>
              <w:top w:val="single" w:sz="4" w:space="0" w:color="000000"/>
              <w:left w:val="single" w:sz="4" w:space="0" w:color="000000"/>
              <w:bottom w:val="single" w:sz="4" w:space="0" w:color="000000"/>
              <w:right w:val="single" w:sz="4" w:space="0" w:color="000000"/>
            </w:tcBorders>
          </w:tcPr>
          <w:p w14:paraId="58402C28" w14:textId="77777777" w:rsidR="00C07257" w:rsidRDefault="0094465E">
            <w:pPr>
              <w:spacing w:after="0" w:line="259" w:lineRule="auto"/>
              <w:ind w:left="69" w:firstLine="0"/>
              <w:jc w:val="center"/>
            </w:pPr>
            <w:r>
              <w:t xml:space="preserve"> </w:t>
            </w:r>
          </w:p>
          <w:p w14:paraId="30EACF47" w14:textId="77777777" w:rsidR="00C07257" w:rsidRDefault="0094465E">
            <w:pPr>
              <w:spacing w:after="0" w:line="259" w:lineRule="auto"/>
              <w:ind w:left="4" w:firstLine="0"/>
              <w:jc w:val="center"/>
            </w:pPr>
            <w:r>
              <w:t xml:space="preserve">Individual legal research and citation assignment – 15% </w:t>
            </w:r>
          </w:p>
          <w:p w14:paraId="3B1E9AFA" w14:textId="46E96395" w:rsidR="00C07257" w:rsidRDefault="0094465E">
            <w:pPr>
              <w:spacing w:after="0" w:line="259" w:lineRule="auto"/>
              <w:ind w:left="4" w:firstLine="0"/>
              <w:jc w:val="center"/>
            </w:pPr>
            <w:r>
              <w:t xml:space="preserve">Group case brief assignment – </w:t>
            </w:r>
            <w:r w:rsidR="00F859E9">
              <w:t>20</w:t>
            </w:r>
            <w:r>
              <w:t xml:space="preserve">% </w:t>
            </w:r>
          </w:p>
          <w:p w14:paraId="202C4DE7" w14:textId="77777777" w:rsidR="00C07257" w:rsidRDefault="0094465E">
            <w:pPr>
              <w:spacing w:after="0" w:line="259" w:lineRule="auto"/>
              <w:ind w:left="2" w:firstLine="0"/>
              <w:jc w:val="center"/>
            </w:pPr>
            <w:r>
              <w:t xml:space="preserve">Individual research-based essay - 35% </w:t>
            </w:r>
          </w:p>
          <w:p w14:paraId="6C24B42A" w14:textId="066AA1E0" w:rsidR="00C07257" w:rsidRDefault="0094465E">
            <w:pPr>
              <w:spacing w:after="0" w:line="259" w:lineRule="auto"/>
              <w:ind w:left="5" w:firstLine="0"/>
              <w:jc w:val="center"/>
            </w:pPr>
            <w:r>
              <w:t>Legal System Group PowerPoint presentation – 2</w:t>
            </w:r>
            <w:r w:rsidR="00F859E9">
              <w:t>5</w:t>
            </w:r>
            <w:r>
              <w:t xml:space="preserve">% </w:t>
            </w:r>
          </w:p>
          <w:p w14:paraId="0ED145B4" w14:textId="5A36E190" w:rsidR="00C07257" w:rsidRDefault="0094465E" w:rsidP="00A20A70">
            <w:pPr>
              <w:spacing w:after="0" w:line="259" w:lineRule="auto"/>
              <w:ind w:left="5" w:firstLine="0"/>
              <w:jc w:val="center"/>
            </w:pPr>
            <w:r>
              <w:t xml:space="preserve">EU Law Assessment – 5% </w:t>
            </w:r>
          </w:p>
        </w:tc>
      </w:tr>
    </w:tbl>
    <w:p w14:paraId="79909D1E" w14:textId="77777777" w:rsidR="003B5C80" w:rsidRDefault="003B5C80" w:rsidP="008441F0">
      <w:pPr>
        <w:ind w:left="0" w:firstLine="0"/>
      </w:pPr>
    </w:p>
    <w:sectPr w:rsidR="003B5C80">
      <w:footerReference w:type="even" r:id="rId11"/>
      <w:footerReference w:type="default" r:id="rId12"/>
      <w:footerReference w:type="first" r:id="rId13"/>
      <w:pgSz w:w="11899" w:h="16841"/>
      <w:pgMar w:top="1448" w:right="1670" w:bottom="1455" w:left="180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05221" w14:textId="77777777" w:rsidR="00163E15" w:rsidRDefault="00163E15">
      <w:pPr>
        <w:spacing w:after="0" w:line="240" w:lineRule="auto"/>
      </w:pPr>
      <w:r>
        <w:separator/>
      </w:r>
    </w:p>
  </w:endnote>
  <w:endnote w:type="continuationSeparator" w:id="0">
    <w:p w14:paraId="63224D23" w14:textId="77777777" w:rsidR="00163E15" w:rsidRDefault="00163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3506E" w14:textId="77777777" w:rsidR="00C07257" w:rsidRDefault="0094465E">
    <w:pPr>
      <w:tabs>
        <w:tab w:val="right" w:pos="8429"/>
      </w:tabs>
      <w:spacing w:after="0" w:line="259" w:lineRule="auto"/>
      <w:ind w:left="0" w:firstLine="0"/>
      <w:jc w:val="left"/>
    </w:pPr>
    <w:r>
      <w:rPr>
        <w:rFonts w:ascii="Times New Roman" w:eastAsia="Times New Roman" w:hAnsi="Times New Roman"/>
      </w:rPr>
      <w:t xml:space="preserve"> </w:t>
    </w:r>
    <w:r>
      <w:rPr>
        <w:rFonts w:ascii="Times New Roman" w:eastAsia="Times New Roman" w:hAnsi="Times New Roman"/>
      </w:rPr>
      <w:tab/>
    </w:r>
    <w:r>
      <w:fldChar w:fldCharType="begin"/>
    </w:r>
    <w:r>
      <w:instrText xml:space="preserve"> PAGE   \* MERGEFORMAT </w:instrText>
    </w:r>
    <w:r>
      <w:fldChar w:fldCharType="separate"/>
    </w:r>
    <w:r>
      <w:rPr>
        <w:rFonts w:ascii="Times New Roman" w:eastAsia="Times New Roman" w:hAnsi="Times New Roman"/>
      </w:rPr>
      <w:t>1</w:t>
    </w:r>
    <w:r>
      <w:rPr>
        <w:rFonts w:ascii="Times New Roman" w:eastAsia="Times New Roman" w:hAnsi="Times New Roman"/>
      </w:rPr>
      <w:fldChar w:fldCharType="end"/>
    </w:r>
    <w:r>
      <w:rPr>
        <w:rFonts w:ascii="Times New Roman" w:eastAsia="Times New Roman" w:hAnsi="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F9C74" w14:textId="2B2D1C0F" w:rsidR="00C07257" w:rsidRDefault="0094465E">
    <w:pPr>
      <w:tabs>
        <w:tab w:val="right" w:pos="8429"/>
      </w:tabs>
      <w:spacing w:after="0" w:line="259" w:lineRule="auto"/>
      <w:ind w:left="0" w:firstLine="0"/>
      <w:jc w:val="left"/>
    </w:pPr>
    <w:r>
      <w:rPr>
        <w:rFonts w:ascii="Times New Roman" w:eastAsia="Times New Roman" w:hAnsi="Times New Roman"/>
      </w:rPr>
      <w:t xml:space="preserve"> </w:t>
    </w:r>
    <w:r>
      <w:rPr>
        <w:rFonts w:ascii="Times New Roman" w:eastAsia="Times New Roman" w:hAnsi="Times New Roman"/>
      </w:rPr>
      <w:tab/>
    </w:r>
    <w:r>
      <w:fldChar w:fldCharType="begin"/>
    </w:r>
    <w:r>
      <w:instrText xml:space="preserve"> PAGE   \* MERGEFORMAT </w:instrText>
    </w:r>
    <w:r>
      <w:fldChar w:fldCharType="separate"/>
    </w:r>
    <w:r w:rsidR="00F30C1C" w:rsidRPr="00F30C1C">
      <w:rPr>
        <w:rFonts w:ascii="Times New Roman" w:eastAsia="Times New Roman" w:hAnsi="Times New Roman"/>
        <w:noProof/>
      </w:rPr>
      <w:t>7</w:t>
    </w:r>
    <w:r>
      <w:rPr>
        <w:rFonts w:ascii="Times New Roman" w:eastAsia="Times New Roman" w:hAnsi="Times New Roman"/>
      </w:rPr>
      <w:fldChar w:fldCharType="end"/>
    </w:r>
    <w:r>
      <w:rPr>
        <w:rFonts w:ascii="Times New Roman" w:eastAsia="Times New Roman" w:hAnsi="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92A35" w14:textId="77777777" w:rsidR="00C07257" w:rsidRDefault="0094465E">
    <w:pPr>
      <w:tabs>
        <w:tab w:val="right" w:pos="8429"/>
      </w:tabs>
      <w:spacing w:after="0" w:line="259" w:lineRule="auto"/>
      <w:ind w:left="0" w:firstLine="0"/>
      <w:jc w:val="left"/>
    </w:pPr>
    <w:r>
      <w:rPr>
        <w:rFonts w:ascii="Times New Roman" w:eastAsia="Times New Roman" w:hAnsi="Times New Roman"/>
      </w:rPr>
      <w:t xml:space="preserve"> </w:t>
    </w:r>
    <w:r>
      <w:rPr>
        <w:rFonts w:ascii="Times New Roman" w:eastAsia="Times New Roman" w:hAnsi="Times New Roman"/>
      </w:rPr>
      <w:tab/>
    </w:r>
    <w:r>
      <w:fldChar w:fldCharType="begin"/>
    </w:r>
    <w:r>
      <w:instrText xml:space="preserve"> PAGE   \* MERGEFORMAT </w:instrText>
    </w:r>
    <w:r>
      <w:fldChar w:fldCharType="separate"/>
    </w:r>
    <w:r>
      <w:rPr>
        <w:rFonts w:ascii="Times New Roman" w:eastAsia="Times New Roman" w:hAnsi="Times New Roman"/>
      </w:rPr>
      <w:t>1</w:t>
    </w:r>
    <w:r>
      <w:rPr>
        <w:rFonts w:ascii="Times New Roman" w:eastAsia="Times New Roman" w:hAnsi="Times New Roman"/>
      </w:rPr>
      <w:fldChar w:fldCharType="end"/>
    </w:r>
    <w:r>
      <w:rPr>
        <w:rFonts w:ascii="Times New Roman" w:eastAsia="Times New Roman" w:hAnsi="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03CCB" w14:textId="77777777" w:rsidR="00163E15" w:rsidRDefault="00163E15">
      <w:pPr>
        <w:spacing w:after="0" w:line="240" w:lineRule="auto"/>
      </w:pPr>
      <w:r>
        <w:separator/>
      </w:r>
    </w:p>
  </w:footnote>
  <w:footnote w:type="continuationSeparator" w:id="0">
    <w:p w14:paraId="39836FDA" w14:textId="77777777" w:rsidR="00163E15" w:rsidRDefault="00163E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875204"/>
    <w:multiLevelType w:val="hybridMultilevel"/>
    <w:tmpl w:val="5DB41BC6"/>
    <w:lvl w:ilvl="0" w:tplc="C80C30B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3C370A">
      <w:start w:val="1"/>
      <w:numFmt w:val="bullet"/>
      <w:lvlText w:val="o"/>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80E1E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54A40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7E0908">
      <w:start w:val="1"/>
      <w:numFmt w:val="bullet"/>
      <w:lvlText w:val="o"/>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0AC77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BA4C8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BC2D02">
      <w:start w:val="1"/>
      <w:numFmt w:val="bullet"/>
      <w:lvlText w:val="o"/>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30C1B6">
      <w:start w:val="1"/>
      <w:numFmt w:val="bullet"/>
      <w:lvlText w:val="▪"/>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882525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257"/>
    <w:rsid w:val="00163E15"/>
    <w:rsid w:val="00176AFF"/>
    <w:rsid w:val="003B5C80"/>
    <w:rsid w:val="0041263B"/>
    <w:rsid w:val="008441F0"/>
    <w:rsid w:val="0094465E"/>
    <w:rsid w:val="00A20A70"/>
    <w:rsid w:val="00A46144"/>
    <w:rsid w:val="00AC6738"/>
    <w:rsid w:val="00C07257"/>
    <w:rsid w:val="00C527C2"/>
    <w:rsid w:val="00E6194B"/>
    <w:rsid w:val="00F30C1C"/>
    <w:rsid w:val="00F47654"/>
    <w:rsid w:val="00F859E9"/>
    <w:rsid w:val="00FA78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DBC00"/>
  <w15:docId w15:val="{408C49B3-E79B-8F47-B953-8217ED6DF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E"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jc w:val="both"/>
    </w:pPr>
    <w:rPr>
      <w:rFonts w:ascii="Arial" w:eastAsia="Arial" w:hAnsi="Arial" w:cs="Times New Roman"/>
      <w:color w:val="000000"/>
      <w:lang w:val="en" w:eastAsia="en"/>
    </w:rPr>
  </w:style>
  <w:style w:type="paragraph" w:styleId="Heading1">
    <w:name w:val="heading 1"/>
    <w:next w:val="Normal"/>
    <w:link w:val="Heading1Char"/>
    <w:uiPriority w:val="9"/>
    <w:qFormat/>
    <w:pPr>
      <w:keepNext/>
      <w:keepLines/>
      <w:spacing w:after="0" w:line="259" w:lineRule="auto"/>
      <w:ind w:left="10" w:right="127" w:hanging="10"/>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line="259" w:lineRule="auto"/>
      <w:ind w:left="10" w:hanging="10"/>
      <w:jc w:val="center"/>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nuigalway.ie/law/legal_writing.htm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uigalway.ie/law/legal_writing.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egalcitation.ie/page5/files/OSCOLA%20Ireland%202011.pdf" TargetMode="External"/><Relationship Id="rId4" Type="http://schemas.openxmlformats.org/officeDocument/2006/relationships/webSettings" Target="webSettings.xml"/><Relationship Id="rId9" Type="http://schemas.openxmlformats.org/officeDocument/2006/relationships/hyperlink" Target="http://www.legalcitation.ie/page5/files/OSCOLA%20Ireland%20201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1399</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Murphy, Nicola</cp:lastModifiedBy>
  <cp:revision>3</cp:revision>
  <dcterms:created xsi:type="dcterms:W3CDTF">2024-08-21T20:48:00Z</dcterms:created>
  <dcterms:modified xsi:type="dcterms:W3CDTF">2024-08-21T20:54:00Z</dcterms:modified>
</cp:coreProperties>
</file>